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C15C7" w14:textId="77777777" w:rsidR="00450289" w:rsidRDefault="00450289" w:rsidP="00AA08D8">
      <w:pPr>
        <w:spacing w:line="410" w:lineRule="exact"/>
        <w:ind w:right="117"/>
        <w:jc w:val="center"/>
        <w:rPr>
          <w:rFonts w:ascii="Arial"/>
          <w:b/>
          <w:i/>
          <w:color w:val="292929"/>
          <w:spacing w:val="-8"/>
          <w:sz w:val="36"/>
        </w:rPr>
      </w:pPr>
      <w:bookmarkStart w:id="0" w:name="ZCL-ARC2018-WayForward-V_nocrops"/>
      <w:bookmarkStart w:id="1" w:name="_Hlk6137867"/>
      <w:bookmarkEnd w:id="0"/>
    </w:p>
    <w:p w14:paraId="643C4ACF" w14:textId="57EF41A3" w:rsidR="00450289" w:rsidRDefault="00450289" w:rsidP="002557BB">
      <w:pPr>
        <w:spacing w:line="410" w:lineRule="exact"/>
        <w:ind w:right="117"/>
        <w:jc w:val="right"/>
        <w:rPr>
          <w:rFonts w:ascii="Arial"/>
          <w:b/>
          <w:i/>
          <w:color w:val="292929"/>
          <w:spacing w:val="-8"/>
          <w:sz w:val="36"/>
        </w:rPr>
      </w:pPr>
    </w:p>
    <w:p w14:paraId="780EC708" w14:textId="26A55BC3" w:rsidR="00450289" w:rsidRDefault="00316BCB" w:rsidP="002557BB">
      <w:pPr>
        <w:spacing w:line="410" w:lineRule="exact"/>
        <w:ind w:right="117"/>
        <w:jc w:val="right"/>
        <w:rPr>
          <w:rFonts w:ascii="Arial"/>
          <w:b/>
          <w:i/>
          <w:color w:val="292929"/>
          <w:spacing w:val="-8"/>
          <w:sz w:val="36"/>
        </w:rPr>
      </w:pPr>
      <w:r>
        <w:rPr>
          <w:rFonts w:ascii="Times New Roman"/>
          <w:noProof/>
        </w:rPr>
        <w:drawing>
          <wp:anchor distT="0" distB="0" distL="114300" distR="114300" simplePos="0" relativeHeight="251655680" behindDoc="1" locked="0" layoutInCell="1" allowOverlap="1" wp14:anchorId="3943AA85" wp14:editId="30BE074E">
            <wp:simplePos x="0" y="0"/>
            <wp:positionH relativeFrom="margin">
              <wp:align>center</wp:align>
            </wp:positionH>
            <wp:positionV relativeFrom="paragraph">
              <wp:posOffset>109220</wp:posOffset>
            </wp:positionV>
            <wp:extent cx="1898650" cy="18986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P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8650" cy="1898650"/>
                    </a:xfrm>
                    <a:prstGeom prst="rect">
                      <a:avLst/>
                    </a:prstGeom>
                  </pic:spPr>
                </pic:pic>
              </a:graphicData>
            </a:graphic>
            <wp14:sizeRelH relativeFrom="page">
              <wp14:pctWidth>0</wp14:pctWidth>
            </wp14:sizeRelH>
            <wp14:sizeRelV relativeFrom="page">
              <wp14:pctHeight>0</wp14:pctHeight>
            </wp14:sizeRelV>
          </wp:anchor>
        </w:drawing>
      </w:r>
    </w:p>
    <w:p w14:paraId="69F663F5" w14:textId="77777777" w:rsidR="00450289" w:rsidRDefault="00450289" w:rsidP="00450289">
      <w:pPr>
        <w:spacing w:line="410" w:lineRule="exact"/>
        <w:ind w:right="117"/>
        <w:rPr>
          <w:rFonts w:ascii="Arial"/>
          <w:color w:val="292929"/>
          <w:spacing w:val="-8"/>
          <w:sz w:val="36"/>
        </w:rPr>
      </w:pPr>
    </w:p>
    <w:p w14:paraId="2C659721" w14:textId="77777777" w:rsidR="00560160" w:rsidRDefault="00560160" w:rsidP="00450289">
      <w:pPr>
        <w:spacing w:line="410" w:lineRule="exact"/>
        <w:ind w:right="117"/>
        <w:rPr>
          <w:rFonts w:ascii="Arial"/>
          <w:color w:val="292929"/>
          <w:spacing w:val="-8"/>
          <w:sz w:val="36"/>
        </w:rPr>
      </w:pPr>
    </w:p>
    <w:p w14:paraId="5063A0C2" w14:textId="77777777" w:rsidR="00560160" w:rsidRDefault="00560160" w:rsidP="00450289">
      <w:pPr>
        <w:spacing w:line="410" w:lineRule="exact"/>
        <w:ind w:right="117"/>
        <w:rPr>
          <w:rFonts w:ascii="Arial"/>
          <w:color w:val="292929"/>
          <w:spacing w:val="-8"/>
          <w:sz w:val="36"/>
        </w:rPr>
      </w:pPr>
    </w:p>
    <w:p w14:paraId="191B0F2A" w14:textId="77777777" w:rsidR="00560160" w:rsidRDefault="00560160" w:rsidP="00450289">
      <w:pPr>
        <w:spacing w:line="410" w:lineRule="exact"/>
        <w:ind w:right="117"/>
        <w:rPr>
          <w:rFonts w:ascii="Arial"/>
          <w:color w:val="292929"/>
          <w:spacing w:val="-8"/>
          <w:sz w:val="36"/>
        </w:rPr>
      </w:pPr>
    </w:p>
    <w:p w14:paraId="3E218C2F" w14:textId="77777777" w:rsidR="00560160" w:rsidRDefault="00560160" w:rsidP="00450289">
      <w:pPr>
        <w:spacing w:line="410" w:lineRule="exact"/>
        <w:ind w:right="117"/>
        <w:rPr>
          <w:rFonts w:ascii="Arial"/>
          <w:color w:val="292929"/>
          <w:spacing w:val="-8"/>
          <w:sz w:val="36"/>
        </w:rPr>
      </w:pPr>
    </w:p>
    <w:p w14:paraId="280BBD52" w14:textId="77777777" w:rsidR="00560160" w:rsidRDefault="00560160" w:rsidP="00450289">
      <w:pPr>
        <w:spacing w:line="410" w:lineRule="exact"/>
        <w:ind w:right="117"/>
        <w:rPr>
          <w:rFonts w:ascii="Arial"/>
          <w:color w:val="292929"/>
          <w:spacing w:val="-8"/>
          <w:sz w:val="36"/>
        </w:rPr>
      </w:pPr>
    </w:p>
    <w:p w14:paraId="47DDEBD9" w14:textId="77777777" w:rsidR="00560160" w:rsidRPr="00AA08D8" w:rsidRDefault="00560160" w:rsidP="00450289">
      <w:pPr>
        <w:spacing w:line="410" w:lineRule="exact"/>
        <w:ind w:right="117"/>
        <w:rPr>
          <w:rFonts w:ascii="Arial" w:hAnsi="Arial" w:cs="Arial"/>
          <w:color w:val="292929"/>
          <w:spacing w:val="-8"/>
          <w:sz w:val="36"/>
        </w:rPr>
      </w:pPr>
    </w:p>
    <w:p w14:paraId="07B103E8" w14:textId="3E81E41F" w:rsidR="00316BCB" w:rsidRDefault="00316BCB" w:rsidP="00AA08D8">
      <w:pPr>
        <w:spacing w:line="410" w:lineRule="exact"/>
        <w:ind w:right="117"/>
        <w:jc w:val="center"/>
        <w:rPr>
          <w:rFonts w:ascii="Arial" w:hAnsi="Arial" w:cs="Arial"/>
          <w:b/>
        </w:rPr>
      </w:pPr>
      <w:r w:rsidRPr="00AA08D8">
        <w:rPr>
          <w:rFonts w:ascii="Arial" w:hAnsi="Arial" w:cs="Arial"/>
          <w:b/>
        </w:rPr>
        <w:t>MANAGEMENT’S DISCUSSION AND ANALYSIS</w:t>
      </w:r>
    </w:p>
    <w:p w14:paraId="18194218" w14:textId="77777777" w:rsidR="00C95E97" w:rsidRPr="00AA08D8" w:rsidRDefault="00C95E97" w:rsidP="00AA08D8">
      <w:pPr>
        <w:spacing w:line="410" w:lineRule="exact"/>
        <w:ind w:right="117"/>
        <w:jc w:val="center"/>
        <w:rPr>
          <w:rFonts w:ascii="Arial" w:hAnsi="Arial" w:cs="Arial"/>
          <w:b/>
        </w:rPr>
      </w:pPr>
    </w:p>
    <w:p w14:paraId="27ADC671" w14:textId="2F30BB64" w:rsidR="00560160" w:rsidRPr="00C95E97" w:rsidRDefault="00316BCB" w:rsidP="00C95E97">
      <w:pPr>
        <w:ind w:right="117"/>
        <w:jc w:val="center"/>
        <w:rPr>
          <w:rFonts w:ascii="Arial" w:hAnsi="Arial" w:cs="Arial"/>
          <w:b/>
        </w:rPr>
      </w:pPr>
      <w:r w:rsidRPr="00AA08D8">
        <w:rPr>
          <w:rFonts w:ascii="Arial" w:hAnsi="Arial" w:cs="Arial"/>
          <w:b/>
        </w:rPr>
        <w:t xml:space="preserve">For the </w:t>
      </w:r>
      <w:r w:rsidR="00C1555D">
        <w:rPr>
          <w:rFonts w:ascii="Arial" w:hAnsi="Arial" w:cs="Arial"/>
          <w:b/>
        </w:rPr>
        <w:t>year</w:t>
      </w:r>
      <w:r w:rsidR="00B27E3E">
        <w:rPr>
          <w:rFonts w:ascii="Arial" w:hAnsi="Arial" w:cs="Arial"/>
          <w:b/>
        </w:rPr>
        <w:t xml:space="preserve"> ended </w:t>
      </w:r>
      <w:r w:rsidR="00C1555D">
        <w:rPr>
          <w:rFonts w:ascii="Arial" w:hAnsi="Arial" w:cs="Arial"/>
          <w:b/>
        </w:rPr>
        <w:t>December 31</w:t>
      </w:r>
      <w:r w:rsidR="00B27E3E">
        <w:rPr>
          <w:rFonts w:ascii="Arial" w:hAnsi="Arial" w:cs="Arial"/>
          <w:b/>
        </w:rPr>
        <w:t>, 2021</w:t>
      </w:r>
      <w:r w:rsidR="00C95E97">
        <w:rPr>
          <w:rFonts w:ascii="Arial" w:hAnsi="Arial" w:cs="Arial"/>
          <w:b/>
        </w:rPr>
        <w:br/>
      </w:r>
    </w:p>
    <w:p w14:paraId="50A29206" w14:textId="77777777" w:rsidR="00560160" w:rsidRDefault="00560160" w:rsidP="00450289">
      <w:pPr>
        <w:spacing w:line="410" w:lineRule="exact"/>
        <w:ind w:right="117"/>
        <w:rPr>
          <w:rFonts w:ascii="Arial"/>
          <w:color w:val="292929"/>
          <w:spacing w:val="-8"/>
          <w:sz w:val="36"/>
        </w:rPr>
      </w:pPr>
    </w:p>
    <w:p w14:paraId="07C8DA22" w14:textId="77777777" w:rsidR="00560160" w:rsidRDefault="00560160" w:rsidP="00450289">
      <w:pPr>
        <w:spacing w:line="410" w:lineRule="exact"/>
        <w:ind w:right="117"/>
        <w:rPr>
          <w:rFonts w:ascii="Arial"/>
          <w:color w:val="292929"/>
          <w:spacing w:val="-8"/>
          <w:sz w:val="36"/>
        </w:rPr>
      </w:pPr>
    </w:p>
    <w:p w14:paraId="3F64F7AF" w14:textId="77777777" w:rsidR="00560160" w:rsidRDefault="00560160" w:rsidP="00450289">
      <w:pPr>
        <w:spacing w:line="410" w:lineRule="exact"/>
        <w:ind w:right="117"/>
        <w:rPr>
          <w:rFonts w:ascii="Arial"/>
          <w:color w:val="292929"/>
          <w:spacing w:val="-8"/>
          <w:sz w:val="36"/>
        </w:rPr>
      </w:pPr>
    </w:p>
    <w:p w14:paraId="1F7ECA4B" w14:textId="77777777" w:rsidR="00560160" w:rsidRDefault="00560160" w:rsidP="00450289">
      <w:pPr>
        <w:spacing w:line="410" w:lineRule="exact"/>
        <w:ind w:right="117"/>
        <w:rPr>
          <w:rFonts w:ascii="Arial"/>
          <w:color w:val="292929"/>
          <w:spacing w:val="-8"/>
          <w:sz w:val="36"/>
        </w:rPr>
      </w:pPr>
    </w:p>
    <w:p w14:paraId="5E23714B" w14:textId="77777777" w:rsidR="00560160" w:rsidRDefault="00560160" w:rsidP="00450289">
      <w:pPr>
        <w:spacing w:line="410" w:lineRule="exact"/>
        <w:ind w:right="117"/>
        <w:rPr>
          <w:rFonts w:ascii="Arial"/>
          <w:color w:val="292929"/>
          <w:spacing w:val="-8"/>
          <w:sz w:val="36"/>
        </w:rPr>
      </w:pPr>
    </w:p>
    <w:p w14:paraId="10BE201E" w14:textId="77777777" w:rsidR="00560160" w:rsidRDefault="00560160" w:rsidP="00450289">
      <w:pPr>
        <w:spacing w:line="410" w:lineRule="exact"/>
        <w:ind w:right="117"/>
        <w:rPr>
          <w:rFonts w:ascii="Arial"/>
          <w:color w:val="292929"/>
          <w:spacing w:val="-8"/>
          <w:sz w:val="36"/>
        </w:rPr>
      </w:pPr>
    </w:p>
    <w:p w14:paraId="68E2D884" w14:textId="77777777" w:rsidR="00560160" w:rsidRDefault="00560160" w:rsidP="00450289">
      <w:pPr>
        <w:spacing w:line="410" w:lineRule="exact"/>
        <w:ind w:right="117"/>
        <w:rPr>
          <w:rFonts w:ascii="Arial"/>
          <w:color w:val="292929"/>
          <w:spacing w:val="-8"/>
          <w:sz w:val="36"/>
        </w:rPr>
      </w:pPr>
    </w:p>
    <w:p w14:paraId="619933F1" w14:textId="77777777" w:rsidR="00560160" w:rsidRDefault="00560160" w:rsidP="00450289">
      <w:pPr>
        <w:spacing w:line="410" w:lineRule="exact"/>
        <w:ind w:right="117"/>
        <w:rPr>
          <w:rFonts w:ascii="Arial"/>
          <w:color w:val="292929"/>
          <w:spacing w:val="-8"/>
          <w:sz w:val="36"/>
        </w:rPr>
      </w:pPr>
    </w:p>
    <w:p w14:paraId="235C0A80" w14:textId="77777777" w:rsidR="0075420D" w:rsidRDefault="0075420D" w:rsidP="0075420D">
      <w:pPr>
        <w:spacing w:line="410" w:lineRule="exact"/>
        <w:ind w:right="117"/>
        <w:rPr>
          <w:rFonts w:asciiTheme="minorHAnsi" w:hAnsiTheme="minorHAnsi" w:cstheme="minorHAnsi"/>
          <w:color w:val="292929"/>
          <w:spacing w:val="-8"/>
          <w:sz w:val="36"/>
        </w:rPr>
      </w:pPr>
    </w:p>
    <w:p w14:paraId="417FD358" w14:textId="77777777" w:rsidR="00450289" w:rsidRDefault="00450289" w:rsidP="00067670">
      <w:pPr>
        <w:spacing w:line="410" w:lineRule="exact"/>
        <w:ind w:right="117"/>
        <w:jc w:val="right"/>
        <w:rPr>
          <w:rFonts w:asciiTheme="minorHAnsi" w:hAnsiTheme="minorHAnsi" w:cstheme="minorHAnsi"/>
          <w:spacing w:val="-8"/>
          <w:sz w:val="36"/>
        </w:rPr>
      </w:pPr>
    </w:p>
    <w:p w14:paraId="09E14976" w14:textId="77777777" w:rsidR="00B94C94" w:rsidRPr="00B94C94" w:rsidRDefault="00B94C94" w:rsidP="00B94C94">
      <w:pPr>
        <w:rPr>
          <w:rFonts w:asciiTheme="minorHAnsi" w:hAnsiTheme="minorHAnsi" w:cstheme="minorHAnsi"/>
          <w:sz w:val="36"/>
        </w:rPr>
      </w:pPr>
    </w:p>
    <w:p w14:paraId="04402397" w14:textId="77777777" w:rsidR="00B94C94" w:rsidRPr="00B94C94" w:rsidRDefault="00B94C94" w:rsidP="00B94C94">
      <w:pPr>
        <w:rPr>
          <w:rFonts w:asciiTheme="minorHAnsi" w:hAnsiTheme="minorHAnsi" w:cstheme="minorHAnsi"/>
          <w:sz w:val="36"/>
        </w:rPr>
      </w:pPr>
    </w:p>
    <w:p w14:paraId="054B6E84" w14:textId="77777777" w:rsidR="00B94C94" w:rsidRPr="00B94C94" w:rsidRDefault="00B94C94" w:rsidP="00B94C94">
      <w:pPr>
        <w:rPr>
          <w:rFonts w:asciiTheme="minorHAnsi" w:hAnsiTheme="minorHAnsi" w:cstheme="minorHAnsi"/>
          <w:sz w:val="36"/>
        </w:rPr>
      </w:pPr>
    </w:p>
    <w:p w14:paraId="33CC0CED" w14:textId="77777777" w:rsidR="00B94C94" w:rsidRPr="00B94C94" w:rsidRDefault="00B94C94" w:rsidP="00B94C94">
      <w:pPr>
        <w:rPr>
          <w:rFonts w:asciiTheme="minorHAnsi" w:hAnsiTheme="minorHAnsi" w:cstheme="minorHAnsi"/>
          <w:sz w:val="36"/>
        </w:rPr>
      </w:pPr>
    </w:p>
    <w:p w14:paraId="6B57983D" w14:textId="77777777" w:rsidR="00B94C94" w:rsidRPr="00B94C94" w:rsidRDefault="00B94C94" w:rsidP="00B94C94">
      <w:pPr>
        <w:rPr>
          <w:rFonts w:asciiTheme="minorHAnsi" w:hAnsiTheme="minorHAnsi" w:cstheme="minorHAnsi"/>
          <w:sz w:val="36"/>
        </w:rPr>
      </w:pPr>
    </w:p>
    <w:p w14:paraId="15EC7400" w14:textId="77777777" w:rsidR="00B94C94" w:rsidRPr="00B94C94" w:rsidRDefault="00B94C94" w:rsidP="00B94C94">
      <w:pPr>
        <w:rPr>
          <w:rFonts w:asciiTheme="minorHAnsi" w:hAnsiTheme="minorHAnsi" w:cstheme="minorHAnsi"/>
          <w:sz w:val="36"/>
        </w:rPr>
      </w:pPr>
    </w:p>
    <w:p w14:paraId="28B5712C" w14:textId="77777777" w:rsidR="00B94C94" w:rsidRPr="00B94C94" w:rsidRDefault="00B94C94" w:rsidP="00B94C94">
      <w:pPr>
        <w:rPr>
          <w:rFonts w:asciiTheme="minorHAnsi" w:hAnsiTheme="minorHAnsi" w:cstheme="minorHAnsi"/>
          <w:sz w:val="36"/>
        </w:rPr>
      </w:pPr>
    </w:p>
    <w:p w14:paraId="194F02CF" w14:textId="6A19C471" w:rsidR="00EF6437" w:rsidRPr="00EF6437" w:rsidRDefault="00EF6437" w:rsidP="00EF6437">
      <w:pPr>
        <w:rPr>
          <w:rFonts w:asciiTheme="minorHAnsi" w:hAnsiTheme="minorHAnsi" w:cstheme="minorHAnsi"/>
          <w:sz w:val="36"/>
        </w:rPr>
        <w:sectPr w:rsidR="00EF6437" w:rsidRPr="00EF6437" w:rsidSect="00EF6437">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080" w:right="600" w:bottom="280" w:left="960" w:header="720" w:footer="720" w:gutter="0"/>
          <w:pgNumType w:start="0"/>
          <w:cols w:space="720"/>
          <w:titlePg/>
          <w:docGrid w:linePitch="299"/>
        </w:sectPr>
      </w:pPr>
    </w:p>
    <w:p w14:paraId="2B2983B7" w14:textId="77777777" w:rsidR="000B6955" w:rsidRPr="00E70AE4" w:rsidRDefault="000B6955" w:rsidP="000B6955">
      <w:pPr>
        <w:pStyle w:val="BodyText"/>
        <w:spacing w:before="4"/>
        <w:rPr>
          <w:rFonts w:ascii="Arial" w:hAnsi="Arial" w:cs="Arial"/>
          <w:sz w:val="20"/>
          <w:szCs w:val="20"/>
        </w:rPr>
      </w:pPr>
      <w:bookmarkStart w:id="2" w:name="Message_to_Shareholders_Q4_2018_(fnal)"/>
      <w:bookmarkStart w:id="3" w:name="ZCL_MDA_-_Dec_31_2018_(Final)np"/>
      <w:bookmarkEnd w:id="1"/>
      <w:bookmarkEnd w:id="2"/>
      <w:bookmarkEnd w:id="3"/>
    </w:p>
    <w:p w14:paraId="1514D559" w14:textId="77777777" w:rsidR="00705E97" w:rsidRDefault="002557BB">
      <w:pPr>
        <w:spacing w:before="33"/>
        <w:ind w:left="335"/>
        <w:rPr>
          <w:rFonts w:ascii="Helvetica" w:hAnsi="Helvetica"/>
          <w:b/>
          <w:sz w:val="32"/>
        </w:rPr>
      </w:pPr>
      <w:r w:rsidRPr="00E70AE4">
        <w:rPr>
          <w:rFonts w:ascii="Arial" w:hAnsi="Arial" w:cs="Arial"/>
          <w:b/>
          <w:w w:val="95"/>
          <w:sz w:val="32"/>
        </w:rPr>
        <w:t>Management’s Discussion</w:t>
      </w:r>
      <w:r w:rsidR="00BE2F07" w:rsidRPr="00E70AE4">
        <w:rPr>
          <w:rFonts w:ascii="Arial" w:hAnsi="Arial" w:cs="Arial"/>
          <w:b/>
          <w:w w:val="95"/>
          <w:sz w:val="32"/>
        </w:rPr>
        <w:t xml:space="preserve"> </w:t>
      </w:r>
      <w:r w:rsidRPr="00E70AE4">
        <w:rPr>
          <w:rFonts w:ascii="Arial" w:hAnsi="Arial" w:cs="Arial"/>
          <w:b/>
          <w:w w:val="95"/>
          <w:sz w:val="32"/>
        </w:rPr>
        <w:t>and</w:t>
      </w:r>
      <w:r w:rsidRPr="00E70AE4">
        <w:rPr>
          <w:rFonts w:ascii="Arial" w:hAnsi="Arial" w:cs="Arial"/>
          <w:b/>
          <w:spacing w:val="-62"/>
          <w:w w:val="95"/>
          <w:sz w:val="32"/>
        </w:rPr>
        <w:t xml:space="preserve"> </w:t>
      </w:r>
      <w:r w:rsidR="00BE2F07" w:rsidRPr="00E70AE4">
        <w:rPr>
          <w:rFonts w:ascii="Arial" w:hAnsi="Arial" w:cs="Arial"/>
          <w:b/>
          <w:spacing w:val="-62"/>
          <w:w w:val="95"/>
          <w:sz w:val="32"/>
        </w:rPr>
        <w:t xml:space="preserve">  </w:t>
      </w:r>
      <w:r w:rsidRPr="00E70AE4">
        <w:rPr>
          <w:rFonts w:ascii="Arial" w:hAnsi="Arial" w:cs="Arial"/>
          <w:b/>
          <w:w w:val="95"/>
          <w:sz w:val="32"/>
        </w:rPr>
        <w:t>Analysis</w:t>
      </w:r>
    </w:p>
    <w:p w14:paraId="5B4983E8" w14:textId="77777777" w:rsidR="00705E97" w:rsidRPr="00E70AE4" w:rsidRDefault="00705E97">
      <w:pPr>
        <w:pStyle w:val="BodyText"/>
        <w:spacing w:before="6"/>
        <w:rPr>
          <w:rFonts w:ascii="Arial" w:hAnsi="Arial" w:cs="Arial"/>
          <w:b/>
          <w:sz w:val="20"/>
          <w:szCs w:val="20"/>
        </w:rPr>
      </w:pPr>
    </w:p>
    <w:p w14:paraId="2E564D8C" w14:textId="5AFC0174" w:rsidR="00705E97" w:rsidRPr="00E70AE4" w:rsidRDefault="00B7344D">
      <w:pPr>
        <w:pStyle w:val="Heading5"/>
        <w:rPr>
          <w:rFonts w:ascii="Arial" w:hAnsi="Arial" w:cs="Arial"/>
          <w:sz w:val="20"/>
          <w:szCs w:val="20"/>
        </w:rPr>
      </w:pPr>
      <w:r w:rsidRPr="00E70AE4">
        <w:rPr>
          <w:rFonts w:ascii="Arial" w:hAnsi="Arial" w:cs="Arial"/>
          <w:noProof/>
          <w:sz w:val="20"/>
          <w:szCs w:val="20"/>
        </w:rPr>
        <mc:AlternateContent>
          <mc:Choice Requires="wps">
            <w:drawing>
              <wp:anchor distT="0" distB="0" distL="114300" distR="114300" simplePos="0" relativeHeight="251654656" behindDoc="0" locked="0" layoutInCell="1" allowOverlap="1" wp14:anchorId="15EE0395" wp14:editId="1887BA10">
                <wp:simplePos x="0" y="0"/>
                <wp:positionH relativeFrom="page">
                  <wp:posOffset>823595</wp:posOffset>
                </wp:positionH>
                <wp:positionV relativeFrom="paragraph">
                  <wp:posOffset>163830</wp:posOffset>
                </wp:positionV>
                <wp:extent cx="6219825" cy="0"/>
                <wp:effectExtent l="13970" t="11430" r="5080" b="7620"/>
                <wp:wrapNone/>
                <wp:docPr id="318"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96047" id="Line 534"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85pt,12.9pt" to="554.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" strokeweight=".48pt">
                <w10:wrap anchorx="page"/>
              </v:line>
            </w:pict>
          </mc:Fallback>
        </mc:AlternateContent>
      </w:r>
      <w:r w:rsidR="002557BB" w:rsidRPr="00E70AE4">
        <w:rPr>
          <w:rFonts w:ascii="Arial" w:hAnsi="Arial" w:cs="Arial"/>
          <w:w w:val="95"/>
          <w:sz w:val="20"/>
          <w:szCs w:val="20"/>
        </w:rPr>
        <w:t>INTRODUCTION</w:t>
      </w:r>
    </w:p>
    <w:p w14:paraId="3FE9CDC6" w14:textId="77777777" w:rsidR="00705E97" w:rsidRPr="00240B85" w:rsidRDefault="00705E97">
      <w:pPr>
        <w:sectPr w:rsidR="00705E97" w:rsidRPr="00240B85">
          <w:headerReference w:type="even" r:id="rId18"/>
          <w:headerReference w:type="default" r:id="rId19"/>
          <w:headerReference w:type="first" r:id="rId20"/>
          <w:pgSz w:w="12240" w:h="15840"/>
          <w:pgMar w:top="1480" w:right="600" w:bottom="720" w:left="960" w:header="1152" w:footer="523" w:gutter="0"/>
          <w:cols w:space="720"/>
        </w:sectPr>
      </w:pPr>
    </w:p>
    <w:p w14:paraId="0787FD93" w14:textId="77777777" w:rsidR="00472910" w:rsidRPr="00E70AE4" w:rsidRDefault="00472910" w:rsidP="00472910">
      <w:pPr>
        <w:pStyle w:val="BodyText"/>
        <w:spacing w:before="8"/>
        <w:ind w:left="367"/>
        <w:rPr>
          <w:rFonts w:ascii="Arial" w:hAnsi="Arial" w:cs="Arial"/>
          <w:sz w:val="20"/>
          <w:szCs w:val="20"/>
        </w:rPr>
      </w:pPr>
    </w:p>
    <w:p w14:paraId="7238A021" w14:textId="77777777" w:rsidR="00877C49" w:rsidRPr="00240B85" w:rsidRDefault="00877C49" w:rsidP="00F33CB9">
      <w:pPr>
        <w:pStyle w:val="BodyText"/>
        <w:spacing w:before="8"/>
        <w:jc w:val="both"/>
        <w:rPr>
          <w:rFonts w:ascii="Arial Nova" w:hAnsi="Arial Nova" w:cstheme="minorHAnsi"/>
          <w:sz w:val="22"/>
          <w:szCs w:val="22"/>
        </w:rPr>
        <w:sectPr w:rsidR="00877C49" w:rsidRPr="00240B85" w:rsidSect="00931916">
          <w:type w:val="continuous"/>
          <w:pgSz w:w="12240" w:h="15840"/>
          <w:pgMar w:top="1440" w:right="1440" w:bottom="1440" w:left="1440" w:header="720" w:footer="720" w:gutter="0"/>
          <w:cols w:num="2" w:space="720"/>
          <w:docGrid w:linePitch="299"/>
        </w:sectPr>
      </w:pPr>
    </w:p>
    <w:p w14:paraId="2EB09393" w14:textId="6471794E" w:rsidR="009E01E6" w:rsidRDefault="009E01E6" w:rsidP="009E01E6">
      <w:pPr>
        <w:pStyle w:val="BodyText"/>
        <w:spacing w:before="8"/>
        <w:jc w:val="both"/>
        <w:rPr>
          <w:rFonts w:ascii="Arial" w:hAnsi="Arial" w:cs="Arial"/>
          <w:sz w:val="20"/>
          <w:szCs w:val="20"/>
        </w:rPr>
      </w:pPr>
      <w:r w:rsidRPr="001728ED">
        <w:rPr>
          <w:rFonts w:ascii="Arial" w:hAnsi="Arial" w:cs="Arial"/>
          <w:sz w:val="20"/>
          <w:szCs w:val="20"/>
        </w:rPr>
        <w:t xml:space="preserve">This Management’s Discussion and Analysis (the “MD&amp;A”), </w:t>
      </w:r>
      <w:r w:rsidRPr="00F413C5">
        <w:rPr>
          <w:rFonts w:ascii="Arial" w:hAnsi="Arial" w:cs="Arial"/>
          <w:sz w:val="20"/>
          <w:szCs w:val="20"/>
        </w:rPr>
        <w:t xml:space="preserve">dated </w:t>
      </w:r>
      <w:r w:rsidRPr="000614C4">
        <w:rPr>
          <w:rFonts w:ascii="Arial" w:hAnsi="Arial" w:cs="Arial"/>
          <w:sz w:val="20"/>
          <w:szCs w:val="20"/>
        </w:rPr>
        <w:t xml:space="preserve">as </w:t>
      </w:r>
      <w:r w:rsidR="00C1555D" w:rsidRPr="000614C4">
        <w:rPr>
          <w:rFonts w:ascii="Arial" w:hAnsi="Arial" w:cs="Arial"/>
          <w:sz w:val="20"/>
          <w:szCs w:val="20"/>
        </w:rPr>
        <w:t>April 1</w:t>
      </w:r>
      <w:r w:rsidR="000614C4" w:rsidRPr="000614C4">
        <w:rPr>
          <w:rFonts w:ascii="Arial" w:hAnsi="Arial" w:cs="Arial"/>
          <w:sz w:val="20"/>
          <w:szCs w:val="20"/>
        </w:rPr>
        <w:t>9</w:t>
      </w:r>
      <w:r w:rsidR="00C1555D" w:rsidRPr="000614C4">
        <w:rPr>
          <w:rFonts w:ascii="Arial" w:hAnsi="Arial" w:cs="Arial"/>
          <w:sz w:val="20"/>
          <w:szCs w:val="20"/>
          <w:vertAlign w:val="superscript"/>
        </w:rPr>
        <w:t>th</w:t>
      </w:r>
      <w:r w:rsidR="00C1555D" w:rsidRPr="000614C4">
        <w:rPr>
          <w:rFonts w:ascii="Arial" w:hAnsi="Arial" w:cs="Arial"/>
          <w:sz w:val="20"/>
          <w:szCs w:val="20"/>
        </w:rPr>
        <w:t>, 2021</w:t>
      </w:r>
      <w:r w:rsidRPr="000614C4">
        <w:rPr>
          <w:rFonts w:ascii="Arial" w:hAnsi="Arial" w:cs="Arial"/>
          <w:sz w:val="20"/>
          <w:szCs w:val="20"/>
        </w:rPr>
        <w:t xml:space="preserve">, is for </w:t>
      </w:r>
      <w:r w:rsidR="00930705" w:rsidRPr="000614C4">
        <w:rPr>
          <w:rFonts w:ascii="Arial" w:hAnsi="Arial" w:cs="Arial"/>
          <w:sz w:val="20"/>
          <w:szCs w:val="20"/>
        </w:rPr>
        <w:t xml:space="preserve">the </w:t>
      </w:r>
      <w:r w:rsidR="00C1555D" w:rsidRPr="000614C4">
        <w:rPr>
          <w:rFonts w:ascii="Arial" w:hAnsi="Arial" w:cs="Arial"/>
          <w:sz w:val="20"/>
          <w:szCs w:val="20"/>
        </w:rPr>
        <w:t>year</w:t>
      </w:r>
      <w:r w:rsidR="00B27E3E" w:rsidRPr="000614C4">
        <w:rPr>
          <w:rFonts w:ascii="Arial" w:hAnsi="Arial" w:cs="Arial"/>
          <w:sz w:val="20"/>
          <w:szCs w:val="20"/>
        </w:rPr>
        <w:t xml:space="preserve"> ended </w:t>
      </w:r>
      <w:r w:rsidR="00C1555D" w:rsidRPr="000614C4">
        <w:rPr>
          <w:rFonts w:ascii="Arial" w:hAnsi="Arial" w:cs="Arial"/>
          <w:sz w:val="20"/>
          <w:szCs w:val="20"/>
        </w:rPr>
        <w:t>December 31</w:t>
      </w:r>
      <w:r w:rsidR="002A2392" w:rsidRPr="000614C4">
        <w:rPr>
          <w:rFonts w:ascii="Arial" w:hAnsi="Arial" w:cs="Arial"/>
          <w:sz w:val="20"/>
          <w:szCs w:val="20"/>
        </w:rPr>
        <w:t>, 202</w:t>
      </w:r>
      <w:r w:rsidR="00B27E3E" w:rsidRPr="000614C4">
        <w:rPr>
          <w:rFonts w:ascii="Arial" w:hAnsi="Arial" w:cs="Arial"/>
          <w:sz w:val="20"/>
          <w:szCs w:val="20"/>
        </w:rPr>
        <w:t>1</w:t>
      </w:r>
      <w:r w:rsidRPr="000614C4">
        <w:rPr>
          <w:rFonts w:ascii="Arial" w:hAnsi="Arial" w:cs="Arial"/>
          <w:sz w:val="20"/>
          <w:szCs w:val="20"/>
        </w:rPr>
        <w:t xml:space="preserve">. This MD&amp;A should be read in conjunction </w:t>
      </w:r>
      <w:r w:rsidR="00C1555D" w:rsidRPr="000614C4">
        <w:rPr>
          <w:rFonts w:ascii="Arial" w:hAnsi="Arial" w:cs="Arial"/>
          <w:sz w:val="20"/>
          <w:szCs w:val="20"/>
        </w:rPr>
        <w:t>with the audited</w:t>
      </w:r>
      <w:r w:rsidR="00C1555D" w:rsidRPr="001728ED">
        <w:rPr>
          <w:rFonts w:ascii="Arial" w:hAnsi="Arial" w:cs="Arial"/>
          <w:sz w:val="20"/>
          <w:szCs w:val="20"/>
        </w:rPr>
        <w:t xml:space="preserve"> consolidated financial statements for the </w:t>
      </w:r>
      <w:r w:rsidR="00C1555D">
        <w:rPr>
          <w:rFonts w:ascii="Arial" w:hAnsi="Arial" w:cs="Arial"/>
          <w:sz w:val="20"/>
          <w:szCs w:val="20"/>
        </w:rPr>
        <w:t>year</w:t>
      </w:r>
      <w:r w:rsidR="00C1555D" w:rsidRPr="001728ED">
        <w:rPr>
          <w:rFonts w:ascii="Arial" w:hAnsi="Arial" w:cs="Arial"/>
          <w:sz w:val="20"/>
          <w:szCs w:val="20"/>
        </w:rPr>
        <w:t xml:space="preserve"> ended </w:t>
      </w:r>
      <w:r w:rsidR="00C1555D">
        <w:rPr>
          <w:rFonts w:ascii="Arial" w:hAnsi="Arial" w:cs="Arial"/>
          <w:sz w:val="20"/>
          <w:szCs w:val="20"/>
        </w:rPr>
        <w:t>December 31</w:t>
      </w:r>
      <w:r w:rsidR="00C1555D" w:rsidRPr="001728ED">
        <w:rPr>
          <w:rFonts w:ascii="Arial" w:hAnsi="Arial" w:cs="Arial"/>
          <w:sz w:val="20"/>
          <w:szCs w:val="20"/>
        </w:rPr>
        <w:t xml:space="preserve">, </w:t>
      </w:r>
      <w:proofErr w:type="gramStart"/>
      <w:r w:rsidR="00C1555D" w:rsidRPr="001728ED">
        <w:rPr>
          <w:rFonts w:ascii="Arial" w:hAnsi="Arial" w:cs="Arial"/>
          <w:sz w:val="20"/>
          <w:szCs w:val="20"/>
        </w:rPr>
        <w:t>202</w:t>
      </w:r>
      <w:r w:rsidR="00C1555D">
        <w:rPr>
          <w:rFonts w:ascii="Arial" w:hAnsi="Arial" w:cs="Arial"/>
          <w:sz w:val="20"/>
          <w:szCs w:val="20"/>
        </w:rPr>
        <w:t>1</w:t>
      </w:r>
      <w:proofErr w:type="gramEnd"/>
      <w:r w:rsidR="00C1555D" w:rsidRPr="001728ED">
        <w:rPr>
          <w:rFonts w:ascii="Arial" w:hAnsi="Arial" w:cs="Arial"/>
          <w:sz w:val="20"/>
          <w:szCs w:val="20"/>
        </w:rPr>
        <w:t xml:space="preserve"> and 20</w:t>
      </w:r>
      <w:r w:rsidR="00271B27">
        <w:rPr>
          <w:rFonts w:ascii="Arial" w:hAnsi="Arial" w:cs="Arial"/>
          <w:sz w:val="20"/>
          <w:szCs w:val="20"/>
        </w:rPr>
        <w:t>20</w:t>
      </w:r>
      <w:r w:rsidR="00C1555D" w:rsidRPr="001728ED">
        <w:rPr>
          <w:rFonts w:ascii="Arial" w:hAnsi="Arial" w:cs="Arial"/>
          <w:sz w:val="20"/>
          <w:szCs w:val="20"/>
        </w:rPr>
        <w:t xml:space="preserve">, available under Atlas Engineered Products </w:t>
      </w:r>
      <w:proofErr w:type="spellStart"/>
      <w:r w:rsidR="00C1555D" w:rsidRPr="001728ED">
        <w:rPr>
          <w:rFonts w:ascii="Arial" w:hAnsi="Arial" w:cs="Arial"/>
          <w:sz w:val="20"/>
          <w:szCs w:val="20"/>
        </w:rPr>
        <w:t>Ltd’s</w:t>
      </w:r>
      <w:proofErr w:type="spellEnd"/>
      <w:r w:rsidR="00C1555D" w:rsidRPr="001728ED">
        <w:rPr>
          <w:rFonts w:ascii="Arial" w:hAnsi="Arial" w:cs="Arial"/>
          <w:sz w:val="20"/>
          <w:szCs w:val="20"/>
        </w:rPr>
        <w:t xml:space="preserve"> (“AEP” or “the Company”) profile on SEDAR at </w:t>
      </w:r>
      <w:r w:rsidR="00C1555D" w:rsidRPr="00C1555D">
        <w:rPr>
          <w:rFonts w:ascii="Arial" w:hAnsi="Arial" w:cs="Arial"/>
          <w:sz w:val="20"/>
          <w:szCs w:val="20"/>
        </w:rPr>
        <w:t>www.sedar.com</w:t>
      </w:r>
      <w:r w:rsidR="00C1555D" w:rsidRPr="001728ED">
        <w:rPr>
          <w:rFonts w:ascii="Arial" w:hAnsi="Arial" w:cs="Arial"/>
          <w:sz w:val="20"/>
          <w:szCs w:val="20"/>
        </w:rPr>
        <w:t>.</w:t>
      </w:r>
    </w:p>
    <w:p w14:paraId="10AD0E85" w14:textId="77777777" w:rsidR="00C1555D" w:rsidRPr="001728ED" w:rsidRDefault="00C1555D" w:rsidP="009E01E6">
      <w:pPr>
        <w:pStyle w:val="BodyText"/>
        <w:spacing w:before="8"/>
        <w:jc w:val="both"/>
        <w:rPr>
          <w:rFonts w:ascii="Arial" w:hAnsi="Arial" w:cs="Arial"/>
          <w:sz w:val="20"/>
          <w:szCs w:val="20"/>
        </w:rPr>
      </w:pPr>
    </w:p>
    <w:p w14:paraId="471A43E5" w14:textId="4BD35C66" w:rsidR="009E01E6" w:rsidRPr="001728ED" w:rsidRDefault="009E01E6" w:rsidP="009E01E6">
      <w:pPr>
        <w:pStyle w:val="BodyText"/>
        <w:spacing w:before="8"/>
        <w:jc w:val="both"/>
        <w:rPr>
          <w:rFonts w:ascii="Arial" w:hAnsi="Arial" w:cs="Arial"/>
          <w:sz w:val="20"/>
          <w:szCs w:val="20"/>
        </w:rPr>
      </w:pPr>
      <w:r w:rsidRPr="001728ED">
        <w:rPr>
          <w:rFonts w:ascii="Arial" w:hAnsi="Arial" w:cs="Arial"/>
          <w:sz w:val="20"/>
          <w:szCs w:val="20"/>
        </w:rPr>
        <w:t xml:space="preserve">The referenced </w:t>
      </w:r>
      <w:r w:rsidR="00B27E3E">
        <w:rPr>
          <w:rFonts w:ascii="Arial" w:hAnsi="Arial" w:cs="Arial"/>
          <w:sz w:val="20"/>
          <w:szCs w:val="20"/>
        </w:rPr>
        <w:t>un</w:t>
      </w:r>
      <w:r w:rsidRPr="001728ED">
        <w:rPr>
          <w:rFonts w:ascii="Arial" w:hAnsi="Arial" w:cs="Arial"/>
          <w:sz w:val="20"/>
          <w:szCs w:val="20"/>
        </w:rPr>
        <w:t xml:space="preserve">audited consolidated financial statements have been prepared in accordance with International Financial Reporting Standards (“IFRS”) and related IFRS Interpretations Committee (“IFRICs”) as issued by the International Accounting Standards Board (“IASB”). All amounts included in this MD&amp;A are expressed in Canadian dollars unless otherwise indicated.  </w:t>
      </w:r>
    </w:p>
    <w:p w14:paraId="55AB8BB2" w14:textId="77777777" w:rsidR="009E01E6" w:rsidRPr="001728ED" w:rsidRDefault="009E01E6" w:rsidP="009E01E6">
      <w:pPr>
        <w:pStyle w:val="BodyText"/>
        <w:spacing w:before="8"/>
        <w:jc w:val="both"/>
        <w:rPr>
          <w:rFonts w:ascii="Arial" w:hAnsi="Arial" w:cs="Arial"/>
          <w:sz w:val="20"/>
          <w:szCs w:val="20"/>
        </w:rPr>
      </w:pPr>
    </w:p>
    <w:p w14:paraId="311B0DE5" w14:textId="77777777" w:rsidR="009E01E6" w:rsidRPr="001728ED" w:rsidRDefault="009E01E6" w:rsidP="009E01E6">
      <w:pPr>
        <w:pStyle w:val="BodyText"/>
        <w:spacing w:before="8"/>
        <w:jc w:val="both"/>
        <w:rPr>
          <w:rFonts w:ascii="Arial" w:hAnsi="Arial" w:cs="Arial"/>
          <w:sz w:val="20"/>
          <w:szCs w:val="20"/>
        </w:rPr>
      </w:pPr>
      <w:r w:rsidRPr="001728ED">
        <w:rPr>
          <w:rFonts w:ascii="Arial" w:hAnsi="Arial" w:cs="Arial"/>
          <w:sz w:val="20"/>
          <w:szCs w:val="20"/>
        </w:rPr>
        <w:t>AEP’s board of directors, on the recommendation of the audit committee, has approved the content of this MD&amp;A.</w:t>
      </w:r>
    </w:p>
    <w:p w14:paraId="75F0E90C" w14:textId="77777777" w:rsidR="009E01E6" w:rsidRPr="001728ED" w:rsidRDefault="009E01E6" w:rsidP="009E01E6">
      <w:pPr>
        <w:pStyle w:val="BodyText"/>
        <w:spacing w:before="8"/>
        <w:jc w:val="both"/>
        <w:rPr>
          <w:rFonts w:ascii="Arial" w:hAnsi="Arial" w:cs="Arial"/>
          <w:sz w:val="20"/>
          <w:szCs w:val="20"/>
        </w:rPr>
      </w:pPr>
    </w:p>
    <w:p w14:paraId="36296FEA" w14:textId="77777777" w:rsidR="009E01E6" w:rsidRPr="001728ED" w:rsidRDefault="009E01E6" w:rsidP="009E01E6">
      <w:pPr>
        <w:pStyle w:val="BodyText"/>
        <w:spacing w:before="8"/>
        <w:jc w:val="both"/>
        <w:rPr>
          <w:rFonts w:ascii="Arial" w:hAnsi="Arial" w:cs="Arial"/>
          <w:sz w:val="20"/>
          <w:szCs w:val="20"/>
        </w:rPr>
      </w:pPr>
      <w:r w:rsidRPr="001728ED">
        <w:rPr>
          <w:rFonts w:ascii="Arial" w:hAnsi="Arial" w:cs="Arial"/>
          <w:sz w:val="20"/>
          <w:szCs w:val="20"/>
        </w:rPr>
        <w:t xml:space="preserve">The Company is listed on the TSX Venture Exchange (“TSX-V”) in Canada under the symbol AEP. All dollar amounts stated in this MD&amp;A are expressed in Canadian dollars unless noted otherwise. </w:t>
      </w:r>
    </w:p>
    <w:p w14:paraId="7ED6EEBE" w14:textId="77777777" w:rsidR="009E01E6" w:rsidRPr="001728ED" w:rsidRDefault="009E01E6" w:rsidP="009E01E6">
      <w:pPr>
        <w:pStyle w:val="BodyText"/>
        <w:spacing w:before="8"/>
        <w:rPr>
          <w:rFonts w:ascii="Arial" w:hAnsi="Arial" w:cs="Arial"/>
          <w:sz w:val="20"/>
          <w:szCs w:val="20"/>
        </w:rPr>
      </w:pPr>
    </w:p>
    <w:p w14:paraId="1691DEE5" w14:textId="77777777" w:rsidR="009E01E6" w:rsidRPr="001728ED" w:rsidRDefault="009E01E6" w:rsidP="009E01E6">
      <w:pPr>
        <w:jc w:val="both"/>
        <w:rPr>
          <w:rFonts w:ascii="Arial" w:eastAsia="Helvetica" w:hAnsi="Arial" w:cs="Arial"/>
          <w:b/>
          <w:bCs/>
          <w:sz w:val="20"/>
          <w:szCs w:val="20"/>
        </w:rPr>
      </w:pPr>
      <w:r w:rsidRPr="001728ED">
        <w:rPr>
          <w:rFonts w:ascii="Arial" w:eastAsia="Helvetica" w:hAnsi="Arial" w:cs="Arial"/>
          <w:b/>
          <w:bCs/>
          <w:sz w:val="20"/>
          <w:szCs w:val="20"/>
        </w:rPr>
        <w:t>FORWARD-LOOKING INFORMATION</w:t>
      </w:r>
    </w:p>
    <w:p w14:paraId="7520B202" w14:textId="77777777" w:rsidR="009E01E6" w:rsidRPr="001728ED" w:rsidRDefault="009E01E6" w:rsidP="009E01E6">
      <w:pPr>
        <w:ind w:left="367"/>
        <w:jc w:val="both"/>
        <w:rPr>
          <w:rFonts w:ascii="Arial" w:eastAsia="Helvetica" w:hAnsi="Arial" w:cs="Arial"/>
          <w:bCs/>
          <w:sz w:val="20"/>
          <w:szCs w:val="20"/>
        </w:rPr>
      </w:pPr>
    </w:p>
    <w:p w14:paraId="0259E720" w14:textId="77777777" w:rsidR="009E01E6" w:rsidRPr="001728ED" w:rsidRDefault="009E01E6" w:rsidP="009E01E6">
      <w:pPr>
        <w:jc w:val="both"/>
        <w:rPr>
          <w:rFonts w:ascii="Arial" w:eastAsia="Helvetica" w:hAnsi="Arial" w:cs="Arial"/>
          <w:bCs/>
          <w:sz w:val="20"/>
          <w:szCs w:val="20"/>
        </w:rPr>
      </w:pPr>
      <w:r w:rsidRPr="001728ED">
        <w:rPr>
          <w:rFonts w:ascii="Arial" w:eastAsia="Helvetica" w:hAnsi="Arial" w:cs="Arial"/>
          <w:bCs/>
          <w:sz w:val="20"/>
          <w:szCs w:val="20"/>
        </w:rPr>
        <w:t>This MD&amp;A contains statements that constitute “forward-looking statements” within the meaning of National Instrument 51-102, Continuous Disclosure Obligations of the Canadian Securities Administrators.  It is important to note that, unless otherwise indicated, forward-looking statements in this MD&amp;A describe the Company’s expectations up to the date of this MD&amp;A.</w:t>
      </w:r>
    </w:p>
    <w:p w14:paraId="4E04556C" w14:textId="77777777" w:rsidR="009E01E6" w:rsidRPr="001728ED" w:rsidRDefault="009E01E6" w:rsidP="009E01E6">
      <w:pPr>
        <w:ind w:left="367"/>
        <w:jc w:val="both"/>
        <w:rPr>
          <w:rFonts w:ascii="Arial" w:eastAsia="Helvetica" w:hAnsi="Arial" w:cs="Arial"/>
          <w:bCs/>
          <w:sz w:val="20"/>
          <w:szCs w:val="20"/>
        </w:rPr>
      </w:pPr>
    </w:p>
    <w:p w14:paraId="174DDCD1" w14:textId="77777777" w:rsidR="009E01E6" w:rsidRPr="001728ED" w:rsidRDefault="009E01E6" w:rsidP="009E01E6">
      <w:pPr>
        <w:jc w:val="both"/>
        <w:rPr>
          <w:rFonts w:ascii="Arial" w:eastAsia="Helvetica" w:hAnsi="Arial" w:cs="Arial"/>
          <w:bCs/>
          <w:sz w:val="20"/>
          <w:szCs w:val="20"/>
        </w:rPr>
      </w:pPr>
      <w:r w:rsidRPr="001728ED">
        <w:rPr>
          <w:rFonts w:ascii="Arial" w:eastAsia="Helvetica" w:hAnsi="Arial" w:cs="Arial"/>
          <w:bCs/>
          <w:sz w:val="20"/>
          <w:szCs w:val="20"/>
        </w:rPr>
        <w:t xml:space="preserve">Forward-looking statements often, but not always, are identified </w:t>
      </w:r>
      <w:proofErr w:type="gramStart"/>
      <w:r w:rsidRPr="001728ED">
        <w:rPr>
          <w:rFonts w:ascii="Arial" w:eastAsia="Helvetica" w:hAnsi="Arial" w:cs="Arial"/>
          <w:bCs/>
          <w:sz w:val="20"/>
          <w:szCs w:val="20"/>
        </w:rPr>
        <w:t>by the use of</w:t>
      </w:r>
      <w:proofErr w:type="gramEnd"/>
      <w:r w:rsidRPr="001728ED">
        <w:rPr>
          <w:rFonts w:ascii="Arial" w:eastAsia="Helvetica" w:hAnsi="Arial" w:cs="Arial"/>
          <w:bCs/>
          <w:sz w:val="20"/>
          <w:szCs w:val="20"/>
        </w:rPr>
        <w:t xml:space="preserve"> words such as “seek”, “anticipate”, “believe”, “plan”, “estimate”, “expect”, “targeting” and “intend” and statements that an event or result “may”, “will”, “should”, “could”, or “might” occur or be achieved and other similar expressions.  Forward-looking statements in this MD&amp;A include statements regarding the Company’s </w:t>
      </w:r>
      <w:proofErr w:type="gramStart"/>
      <w:r w:rsidRPr="001728ED">
        <w:rPr>
          <w:rFonts w:ascii="Arial" w:eastAsia="Helvetica" w:hAnsi="Arial" w:cs="Arial"/>
          <w:bCs/>
          <w:sz w:val="20"/>
          <w:szCs w:val="20"/>
        </w:rPr>
        <w:t>future plans</w:t>
      </w:r>
      <w:proofErr w:type="gramEnd"/>
      <w:r w:rsidRPr="001728ED">
        <w:rPr>
          <w:rFonts w:ascii="Arial" w:eastAsia="Helvetica" w:hAnsi="Arial" w:cs="Arial"/>
          <w:bCs/>
          <w:sz w:val="20"/>
          <w:szCs w:val="20"/>
        </w:rPr>
        <w:t xml:space="preserve"> and expenditures, the satisfaction of rights and performance of obligations under agreements to which the Company is a part, the ability of the Company to hire and retain employees and consultants and estimated administrative assessment and other expenses.  Forward-looking statements involve known and unknown risks, uncertainties, </w:t>
      </w:r>
      <w:proofErr w:type="gramStart"/>
      <w:r w:rsidRPr="001728ED">
        <w:rPr>
          <w:rFonts w:ascii="Arial" w:eastAsia="Helvetica" w:hAnsi="Arial" w:cs="Arial"/>
          <w:bCs/>
          <w:sz w:val="20"/>
          <w:szCs w:val="20"/>
        </w:rPr>
        <w:t>assumptions</w:t>
      </w:r>
      <w:proofErr w:type="gramEnd"/>
      <w:r w:rsidRPr="001728ED">
        <w:rPr>
          <w:rFonts w:ascii="Arial" w:eastAsia="Helvetica" w:hAnsi="Arial" w:cs="Arial"/>
          <w:bCs/>
          <w:sz w:val="20"/>
          <w:szCs w:val="20"/>
        </w:rPr>
        <w:t xml:space="preserve"> and other factors that may cause the actual results, performance or achievements of the Company to be materially different from any future results, performance or achievements expressed or implied by the forward-looking statements.  Factors that could cause the actual results to differ include market prices, continued availability of capital and financing, inability to obtain required regulatory approvals and general market conditions. These statements are based on </w:t>
      </w:r>
      <w:proofErr w:type="gramStart"/>
      <w:r w:rsidRPr="001728ED">
        <w:rPr>
          <w:rFonts w:ascii="Arial" w:eastAsia="Helvetica" w:hAnsi="Arial" w:cs="Arial"/>
          <w:bCs/>
          <w:sz w:val="20"/>
          <w:szCs w:val="20"/>
        </w:rPr>
        <w:t>a number of</w:t>
      </w:r>
      <w:proofErr w:type="gramEnd"/>
      <w:r w:rsidRPr="001728ED">
        <w:rPr>
          <w:rFonts w:ascii="Arial" w:eastAsia="Helvetica" w:hAnsi="Arial" w:cs="Arial"/>
          <w:bCs/>
          <w:sz w:val="20"/>
          <w:szCs w:val="20"/>
        </w:rPr>
        <w:t xml:space="preserve"> assumptions, including assumptions regarding general market conditions, the timing and receipt of regulatory approvals, the ability of the Company and other relevant parties to satisfy regulatory requirements, the availability of financing for proposed transactions and programs on reasonable terms acceptable to the Company and the ability of third-party service providers to deliver services in a timely manner.  Some of these risks and uncertainties are identified under the heading “RISKS AND UNCERTAINTIES” as disclosed elsewhere in this MD&amp;A. Additional information regarding these factors and other important factors that could cause results to differ materially may be referred to as part of </w:t>
      </w:r>
      <w:proofErr w:type="gramStart"/>
      <w:r w:rsidRPr="001728ED">
        <w:rPr>
          <w:rFonts w:ascii="Arial" w:eastAsia="Helvetica" w:hAnsi="Arial" w:cs="Arial"/>
          <w:bCs/>
          <w:sz w:val="20"/>
          <w:szCs w:val="20"/>
        </w:rPr>
        <w:t>particular forward-looking</w:t>
      </w:r>
      <w:proofErr w:type="gramEnd"/>
      <w:r w:rsidRPr="001728ED">
        <w:rPr>
          <w:rFonts w:ascii="Arial" w:eastAsia="Helvetica" w:hAnsi="Arial" w:cs="Arial"/>
          <w:bCs/>
          <w:sz w:val="20"/>
          <w:szCs w:val="20"/>
        </w:rPr>
        <w:t xml:space="preserve"> statements.</w:t>
      </w:r>
    </w:p>
    <w:p w14:paraId="211CFA78" w14:textId="77777777" w:rsidR="009E01E6" w:rsidRPr="001728ED" w:rsidRDefault="009E01E6" w:rsidP="009E01E6">
      <w:pPr>
        <w:jc w:val="both"/>
        <w:rPr>
          <w:rFonts w:ascii="Arial" w:eastAsia="Helvetica" w:hAnsi="Arial" w:cs="Arial"/>
          <w:bCs/>
          <w:sz w:val="20"/>
          <w:szCs w:val="20"/>
        </w:rPr>
      </w:pPr>
    </w:p>
    <w:p w14:paraId="6FC19E70" w14:textId="5A2386CE" w:rsidR="009E01E6" w:rsidRPr="001728ED" w:rsidRDefault="009E01E6" w:rsidP="009E01E6">
      <w:pPr>
        <w:jc w:val="both"/>
        <w:rPr>
          <w:rFonts w:ascii="Arial" w:eastAsia="Helvetica" w:hAnsi="Arial" w:cs="Arial"/>
          <w:bCs/>
          <w:sz w:val="20"/>
          <w:szCs w:val="20"/>
          <w:lang w:val="en-CA"/>
        </w:rPr>
      </w:pPr>
      <w:r w:rsidRPr="001728ED">
        <w:rPr>
          <w:rFonts w:ascii="Arial" w:eastAsia="Helvetica" w:hAnsi="Arial" w:cs="Arial"/>
          <w:bCs/>
          <w:sz w:val="20"/>
          <w:szCs w:val="20"/>
          <w:lang w:val="en-CA"/>
        </w:rPr>
        <w:t xml:space="preserve">Forward-looking statements in this MD&amp;A also include future-oriented financial information and financial outlook information (“FOFI”) regarding the Company and its prospective results of operations, cash flows and components thereof. The FOFI contained in this MD&amp;A is subject to the same assumptions, risk factors, limitations and qualifications set forth in this MD&amp;A relating to other forward-looking statements. The FOFI contained in this MD&amp;A is provided for the purpose of providing information regarding management’s assessment of the Company’s anticipated business operations and may not be appropriate for other </w:t>
      </w:r>
      <w:r w:rsidRPr="001728ED">
        <w:rPr>
          <w:rFonts w:ascii="Arial" w:eastAsia="Helvetica" w:hAnsi="Arial" w:cs="Arial"/>
          <w:bCs/>
          <w:sz w:val="20"/>
          <w:szCs w:val="20"/>
          <w:lang w:val="en-CA"/>
        </w:rPr>
        <w:lastRenderedPageBreak/>
        <w:t xml:space="preserve">purposes. </w:t>
      </w:r>
    </w:p>
    <w:p w14:paraId="71E82E83" w14:textId="77777777" w:rsidR="009E01E6" w:rsidRPr="001728ED" w:rsidRDefault="009E01E6" w:rsidP="009E01E6">
      <w:pPr>
        <w:ind w:left="367"/>
        <w:jc w:val="both"/>
        <w:rPr>
          <w:rFonts w:ascii="Arial" w:eastAsia="Helvetica" w:hAnsi="Arial" w:cs="Arial"/>
          <w:bCs/>
          <w:sz w:val="20"/>
          <w:szCs w:val="20"/>
        </w:rPr>
      </w:pPr>
    </w:p>
    <w:p w14:paraId="734D534B" w14:textId="77777777" w:rsidR="009E01E6" w:rsidRPr="001728ED" w:rsidRDefault="009E01E6" w:rsidP="009E01E6">
      <w:pPr>
        <w:jc w:val="both"/>
        <w:rPr>
          <w:rFonts w:ascii="Arial" w:eastAsia="Helvetica" w:hAnsi="Arial" w:cs="Arial"/>
          <w:b/>
          <w:bCs/>
          <w:sz w:val="20"/>
          <w:szCs w:val="20"/>
        </w:rPr>
      </w:pPr>
      <w:r w:rsidRPr="001728ED">
        <w:rPr>
          <w:rFonts w:ascii="Arial" w:eastAsia="Helvetica" w:hAnsi="Arial" w:cs="Arial"/>
          <w:bCs/>
          <w:sz w:val="20"/>
          <w:szCs w:val="20"/>
        </w:rPr>
        <w:t xml:space="preserve">Forward-looking statements, including FOFI, contained herein are made as of the date of this MD&amp;A and the Company disclaims any obligation to update any forward-looking statements, whether </w:t>
      </w:r>
      <w:proofErr w:type="gramStart"/>
      <w:r w:rsidRPr="001728ED">
        <w:rPr>
          <w:rFonts w:ascii="Arial" w:eastAsia="Helvetica" w:hAnsi="Arial" w:cs="Arial"/>
          <w:bCs/>
          <w:sz w:val="20"/>
          <w:szCs w:val="20"/>
        </w:rPr>
        <w:t>as a result of</w:t>
      </w:r>
      <w:proofErr w:type="gramEnd"/>
      <w:r w:rsidRPr="001728ED">
        <w:rPr>
          <w:rFonts w:ascii="Arial" w:eastAsia="Helvetica" w:hAnsi="Arial" w:cs="Arial"/>
          <w:bCs/>
          <w:sz w:val="20"/>
          <w:szCs w:val="20"/>
        </w:rPr>
        <w:t xml:space="preserve"> new information, future events or results or otherwise except as required by securities law. There can be no assurance that forward-looking statements will prove to be accurate, as actual results and future events could differ materially from those anticipated in such statements. Accordingly, readers should not place undue reliance on forward-looking statements. </w:t>
      </w:r>
    </w:p>
    <w:p w14:paraId="78816040" w14:textId="77777777" w:rsidR="009E01E6" w:rsidRPr="001728ED" w:rsidRDefault="009E01E6" w:rsidP="009E01E6">
      <w:pPr>
        <w:jc w:val="both"/>
        <w:rPr>
          <w:rFonts w:ascii="Arial" w:eastAsia="Helvetica" w:hAnsi="Arial" w:cs="Arial"/>
          <w:b/>
          <w:bCs/>
          <w:sz w:val="20"/>
          <w:szCs w:val="20"/>
        </w:rPr>
      </w:pPr>
    </w:p>
    <w:p w14:paraId="165668C5" w14:textId="77777777" w:rsidR="009E01E6" w:rsidRPr="001728ED" w:rsidRDefault="009E01E6" w:rsidP="009E01E6">
      <w:pPr>
        <w:jc w:val="both"/>
        <w:rPr>
          <w:rFonts w:ascii="Arial" w:eastAsia="Helvetica" w:hAnsi="Arial" w:cs="Arial"/>
          <w:b/>
          <w:bCs/>
          <w:sz w:val="20"/>
          <w:szCs w:val="20"/>
        </w:rPr>
      </w:pPr>
      <w:r w:rsidRPr="001728ED">
        <w:rPr>
          <w:rFonts w:ascii="Arial" w:eastAsia="Helvetica" w:hAnsi="Arial" w:cs="Arial"/>
          <w:b/>
          <w:bCs/>
          <w:sz w:val="20"/>
          <w:szCs w:val="20"/>
        </w:rPr>
        <w:t>NON-IFRS / NON-GAAP FINANCIAL MEASURES</w:t>
      </w:r>
    </w:p>
    <w:p w14:paraId="0BFE083D" w14:textId="77777777" w:rsidR="009E01E6" w:rsidRPr="001728ED" w:rsidRDefault="009E01E6" w:rsidP="009E01E6">
      <w:pPr>
        <w:jc w:val="both"/>
        <w:rPr>
          <w:rFonts w:ascii="Arial" w:eastAsia="Helvetica" w:hAnsi="Arial" w:cs="Arial"/>
          <w:bCs/>
          <w:sz w:val="20"/>
          <w:szCs w:val="20"/>
        </w:rPr>
      </w:pPr>
    </w:p>
    <w:p w14:paraId="2B8EC841" w14:textId="37EF175F" w:rsidR="009E01E6" w:rsidRPr="001728ED" w:rsidRDefault="009E01E6" w:rsidP="009E01E6">
      <w:pPr>
        <w:jc w:val="both"/>
        <w:rPr>
          <w:rFonts w:ascii="Arial" w:eastAsia="Helvetica" w:hAnsi="Arial" w:cs="Arial"/>
          <w:bCs/>
          <w:sz w:val="20"/>
          <w:szCs w:val="20"/>
        </w:rPr>
      </w:pPr>
      <w:r w:rsidRPr="001728ED">
        <w:rPr>
          <w:rFonts w:ascii="Arial" w:eastAsia="Helvetica" w:hAnsi="Arial" w:cs="Arial"/>
          <w:bCs/>
          <w:sz w:val="20"/>
          <w:szCs w:val="20"/>
        </w:rPr>
        <w:t xml:space="preserve">Certain measures in this MD&amp;A do not have any standardized meaning under IFRS and, therefore are considered non-IFRS or non-GAAP measures (collectively, “non-IFRS measures”). These non-IFRS measures are used by management to facilitate the analysis and comparison of period-to-period operating results for the Company and to assess whether the Company’s operations are generating sufficient operating cash flow to fund working capital needs and to fund capital expenditures.  As these non-IFRS measures do not have any standardized meaning under IFRS, these measures may not be comparable to similar measures presented by other issuers. The non-IFRS measures used in this MD&amp;A include “EBITDA”, </w:t>
      </w:r>
      <w:bookmarkStart w:id="4" w:name="_Hlk6137621"/>
      <w:r w:rsidRPr="001728ED">
        <w:rPr>
          <w:rFonts w:ascii="Arial" w:eastAsia="Helvetica" w:hAnsi="Arial" w:cs="Arial"/>
          <w:bCs/>
          <w:sz w:val="20"/>
          <w:szCs w:val="20"/>
        </w:rPr>
        <w:t xml:space="preserve">“EBITDA margin”, “adjusted EBITDA”, “adjusted EBITDA per share”, “adjusted EBITDA margin”, “normalized EBITDA”, and “normalized EBITDA margin”. </w:t>
      </w:r>
    </w:p>
    <w:p w14:paraId="6067922F" w14:textId="77777777" w:rsidR="002871A6" w:rsidRDefault="002871A6" w:rsidP="002871A6">
      <w:pPr>
        <w:jc w:val="both"/>
        <w:rPr>
          <w:rFonts w:ascii="Arial" w:hAnsi="Arial" w:cs="Arial"/>
          <w:sz w:val="20"/>
          <w:szCs w:val="20"/>
        </w:rPr>
      </w:pPr>
      <w:bookmarkStart w:id="5" w:name="_Hlk6137022"/>
      <w:bookmarkStart w:id="6" w:name="_Hlk6132081"/>
      <w:bookmarkStart w:id="7" w:name="_Hlk6125280"/>
    </w:p>
    <w:p w14:paraId="53C1FB16" w14:textId="2A82363D" w:rsidR="002871A6" w:rsidRPr="005F1E5E" w:rsidRDefault="002871A6" w:rsidP="002871A6">
      <w:pPr>
        <w:jc w:val="both"/>
        <w:rPr>
          <w:rFonts w:ascii="Arial" w:hAnsi="Arial" w:cs="Arial"/>
          <w:sz w:val="20"/>
          <w:szCs w:val="20"/>
        </w:rPr>
      </w:pPr>
      <w:r w:rsidRPr="005F1E5E">
        <w:rPr>
          <w:rFonts w:ascii="Arial" w:hAnsi="Arial" w:cs="Arial"/>
          <w:sz w:val="20"/>
          <w:szCs w:val="20"/>
        </w:rPr>
        <w:t xml:space="preserve">EBITDA is a non-IFRS measure that provides an indication of whether the Company's operations are generating sufficient operating cash flow to fund working capital needs and to fund capital expenditures. EBITDA comprises revenue </w:t>
      </w:r>
      <w:proofErr w:type="gramStart"/>
      <w:r w:rsidRPr="005F1E5E">
        <w:rPr>
          <w:rFonts w:ascii="Arial" w:hAnsi="Arial" w:cs="Arial"/>
          <w:sz w:val="20"/>
          <w:szCs w:val="20"/>
        </w:rPr>
        <w:t>less</w:t>
      </w:r>
      <w:proofErr w:type="gramEnd"/>
      <w:r w:rsidRPr="005F1E5E">
        <w:rPr>
          <w:rFonts w:ascii="Arial" w:hAnsi="Arial" w:cs="Arial"/>
          <w:sz w:val="20"/>
          <w:szCs w:val="20"/>
        </w:rPr>
        <w:t xml:space="preserve"> operating expenses before interest expense, interest income, depreciation, impairment charges, and income taxes. EBITDA margin is EBITDA expressed as a percentage of revenues. </w:t>
      </w:r>
    </w:p>
    <w:p w14:paraId="53CA6D08" w14:textId="77777777" w:rsidR="002871A6" w:rsidRPr="005F1E5E" w:rsidRDefault="002871A6" w:rsidP="002871A6">
      <w:pPr>
        <w:jc w:val="both"/>
        <w:rPr>
          <w:rFonts w:ascii="Arial" w:hAnsi="Arial" w:cs="Arial"/>
          <w:sz w:val="20"/>
          <w:szCs w:val="20"/>
        </w:rPr>
      </w:pPr>
    </w:p>
    <w:p w14:paraId="17C5B748" w14:textId="77777777" w:rsidR="002871A6" w:rsidRPr="005F1E5E" w:rsidRDefault="002871A6" w:rsidP="002871A6">
      <w:pPr>
        <w:jc w:val="both"/>
        <w:rPr>
          <w:rFonts w:ascii="Arial" w:hAnsi="Arial" w:cs="Arial"/>
          <w:sz w:val="20"/>
          <w:szCs w:val="20"/>
        </w:rPr>
      </w:pPr>
      <w:r w:rsidRPr="005F1E5E">
        <w:rPr>
          <w:rFonts w:ascii="Arial" w:hAnsi="Arial" w:cs="Arial"/>
          <w:sz w:val="20"/>
          <w:szCs w:val="20"/>
        </w:rPr>
        <w:t xml:space="preserve">Adjusted EBITDA is a non-IFRS measure in which standard EBITDA (earnings before interest expense, interest income, taxes, depreciation, and impairment charges) is adjusted for share-based payments expense, foreign exchange gains or losses, and non-cash items. Foreign exchange gains or losses may consist of both realized and unrealized losses. Under IFRS, entities must reflect in compensation expense the cost of share-based payments. In the Company's circumstances, share-based payments can involve a significant accrual of amounts that will not be settled in cash but are settled by the issuance of shares in exchange. The Company discloses adjusted EBITDA to aid in understanding of the results of the Company and is meant to provide further information about the Company's financial results to investors.  Adjusted EBITDA margin is adjusted EBITDA expressed as a percentage of revenues. </w:t>
      </w:r>
    </w:p>
    <w:p w14:paraId="171503CD" w14:textId="77777777" w:rsidR="002871A6" w:rsidRPr="009F41F1" w:rsidRDefault="002871A6" w:rsidP="002871A6">
      <w:pPr>
        <w:jc w:val="both"/>
        <w:rPr>
          <w:rFonts w:ascii="Arial" w:hAnsi="Arial" w:cs="Arial"/>
          <w:sz w:val="20"/>
          <w:szCs w:val="20"/>
        </w:rPr>
      </w:pPr>
    </w:p>
    <w:p w14:paraId="1C3F7D42" w14:textId="77777777" w:rsidR="002871A6" w:rsidRPr="00A24310" w:rsidRDefault="002871A6" w:rsidP="002871A6">
      <w:pPr>
        <w:jc w:val="both"/>
        <w:rPr>
          <w:rFonts w:ascii="Arial" w:hAnsi="Arial" w:cs="Arial"/>
          <w:sz w:val="20"/>
          <w:szCs w:val="20"/>
        </w:rPr>
      </w:pPr>
      <w:r w:rsidRPr="009F41F1">
        <w:rPr>
          <w:rFonts w:ascii="Arial" w:hAnsi="Arial" w:cs="Arial"/>
          <w:sz w:val="20"/>
          <w:szCs w:val="20"/>
        </w:rPr>
        <w:t xml:space="preserve">Normalized EBITDA is adjusted EBITDA adjusted for one-time costs and non-recurring items that the Company has incurred </w:t>
      </w:r>
      <w:r w:rsidRPr="00A24310">
        <w:rPr>
          <w:rFonts w:ascii="Arial" w:hAnsi="Arial" w:cs="Arial"/>
          <w:sz w:val="20"/>
          <w:szCs w:val="20"/>
        </w:rPr>
        <w:t>during the period related to employment and severance costs. Normalized EBITDA margin is normalized EBITDA expressed as a percentage of revenues.</w:t>
      </w:r>
    </w:p>
    <w:p w14:paraId="1FA53304" w14:textId="5E20C714" w:rsidR="009E01E6" w:rsidRPr="001728ED" w:rsidRDefault="009E01E6" w:rsidP="009E01E6">
      <w:pPr>
        <w:rPr>
          <w:rFonts w:ascii="Arial" w:eastAsia="Helvetica" w:hAnsi="Arial" w:cs="Arial"/>
          <w:b/>
          <w:bCs/>
          <w:sz w:val="20"/>
          <w:szCs w:val="20"/>
        </w:rPr>
      </w:pPr>
      <w:r w:rsidRPr="001728ED">
        <w:rPr>
          <w:rFonts w:ascii="Arial" w:hAnsi="Arial" w:cs="Arial"/>
          <w:sz w:val="20"/>
          <w:szCs w:val="20"/>
        </w:rPr>
        <w:br w:type="page"/>
      </w:r>
    </w:p>
    <w:p w14:paraId="1FA2EC48" w14:textId="77777777" w:rsidR="009E01E6" w:rsidRPr="001728ED" w:rsidRDefault="009E01E6" w:rsidP="009E01E6">
      <w:pPr>
        <w:pStyle w:val="Heading5"/>
        <w:spacing w:before="60"/>
        <w:ind w:left="0"/>
        <w:jc w:val="both"/>
        <w:rPr>
          <w:rFonts w:ascii="Arial" w:hAnsi="Arial" w:cs="Arial"/>
          <w:sz w:val="20"/>
          <w:szCs w:val="20"/>
        </w:rPr>
      </w:pPr>
      <w:r w:rsidRPr="001728ED">
        <w:rPr>
          <w:rFonts w:ascii="Arial" w:hAnsi="Arial" w:cs="Arial"/>
          <w:noProof/>
          <w:sz w:val="20"/>
          <w:szCs w:val="20"/>
        </w:rPr>
        <w:lastRenderedPageBreak/>
        <mc:AlternateContent>
          <mc:Choice Requires="wps">
            <w:drawing>
              <wp:anchor distT="0" distB="0" distL="114300" distR="114300" simplePos="0" relativeHeight="251658240" behindDoc="0" locked="0" layoutInCell="1" allowOverlap="1" wp14:anchorId="4CA23E3E" wp14:editId="073AB24F">
                <wp:simplePos x="0" y="0"/>
                <wp:positionH relativeFrom="page">
                  <wp:posOffset>823595</wp:posOffset>
                </wp:positionH>
                <wp:positionV relativeFrom="paragraph">
                  <wp:posOffset>201930</wp:posOffset>
                </wp:positionV>
                <wp:extent cx="6219825" cy="0"/>
                <wp:effectExtent l="13970" t="6985" r="5080" b="12065"/>
                <wp:wrapNone/>
                <wp:docPr id="316" name="Lin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7FCE0" id="Line 53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85pt,15.9pt" to="554.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" strokeweight=".48pt">
                <w10:wrap anchorx="page"/>
              </v:line>
            </w:pict>
          </mc:Fallback>
        </mc:AlternateContent>
      </w:r>
      <w:r w:rsidRPr="001728ED">
        <w:rPr>
          <w:rFonts w:ascii="Arial" w:hAnsi="Arial" w:cs="Arial"/>
          <w:sz w:val="20"/>
          <w:szCs w:val="20"/>
        </w:rPr>
        <w:t>CORPORATE PROFILE</w:t>
      </w:r>
    </w:p>
    <w:p w14:paraId="484F591A" w14:textId="77777777" w:rsidR="009E01E6" w:rsidRPr="001728ED" w:rsidRDefault="009E01E6" w:rsidP="009E01E6">
      <w:pPr>
        <w:pStyle w:val="BodyText"/>
        <w:ind w:left="367"/>
        <w:rPr>
          <w:rFonts w:ascii="Arial" w:hAnsi="Arial" w:cs="Arial"/>
          <w:sz w:val="20"/>
          <w:szCs w:val="20"/>
        </w:rPr>
      </w:pPr>
    </w:p>
    <w:p w14:paraId="0EDC1DF3" w14:textId="5AAC4195" w:rsidR="00776110" w:rsidRPr="001728ED" w:rsidRDefault="009E01E6" w:rsidP="00776110">
      <w:pPr>
        <w:pStyle w:val="BodyText"/>
        <w:jc w:val="both"/>
        <w:rPr>
          <w:rFonts w:ascii="Arial" w:hAnsi="Arial" w:cs="Arial"/>
          <w:sz w:val="20"/>
          <w:szCs w:val="20"/>
        </w:rPr>
      </w:pPr>
      <w:r w:rsidRPr="001728ED">
        <w:rPr>
          <w:rFonts w:ascii="Arial" w:hAnsi="Arial" w:cs="Arial"/>
          <w:sz w:val="20"/>
          <w:szCs w:val="20"/>
        </w:rPr>
        <w:t xml:space="preserve">Atlas Engineered Products Ltd. (“AEP” or “the Company”) </w:t>
      </w:r>
      <w:r w:rsidR="008646AF" w:rsidRPr="001728ED">
        <w:rPr>
          <w:rFonts w:ascii="Arial" w:hAnsi="Arial" w:cs="Arial"/>
          <w:sz w:val="20"/>
          <w:szCs w:val="20"/>
        </w:rPr>
        <w:t xml:space="preserve">designs, </w:t>
      </w:r>
      <w:proofErr w:type="gramStart"/>
      <w:r w:rsidR="008646AF" w:rsidRPr="001728ED">
        <w:rPr>
          <w:rFonts w:ascii="Arial" w:hAnsi="Arial" w:cs="Arial"/>
          <w:sz w:val="20"/>
          <w:szCs w:val="20"/>
        </w:rPr>
        <w:t>manufactures</w:t>
      </w:r>
      <w:proofErr w:type="gramEnd"/>
      <w:r w:rsidR="008646AF" w:rsidRPr="001728ED">
        <w:rPr>
          <w:rFonts w:ascii="Arial" w:hAnsi="Arial" w:cs="Arial"/>
          <w:sz w:val="20"/>
          <w:szCs w:val="20"/>
        </w:rPr>
        <w:t xml:space="preserve"> and sells</w:t>
      </w:r>
      <w:r w:rsidR="00D514C6">
        <w:rPr>
          <w:rFonts w:ascii="Arial" w:hAnsi="Arial" w:cs="Arial"/>
          <w:sz w:val="20"/>
          <w:szCs w:val="20"/>
        </w:rPr>
        <w:t xml:space="preserve"> engineered</w:t>
      </w:r>
      <w:r w:rsidR="008646AF" w:rsidRPr="001728ED">
        <w:rPr>
          <w:rFonts w:ascii="Arial" w:hAnsi="Arial" w:cs="Arial"/>
          <w:sz w:val="20"/>
          <w:szCs w:val="20"/>
        </w:rPr>
        <w:t xml:space="preserve"> roof trusses, floor trusses, wall panels, and windows. The Company also distributes </w:t>
      </w:r>
      <w:r w:rsidR="00D514C6">
        <w:rPr>
          <w:rFonts w:ascii="Arial" w:hAnsi="Arial" w:cs="Arial"/>
          <w:sz w:val="20"/>
          <w:szCs w:val="20"/>
        </w:rPr>
        <w:t>a range of engineered wood products</w:t>
      </w:r>
      <w:r w:rsidR="008646AF" w:rsidRPr="001728ED">
        <w:rPr>
          <w:rFonts w:ascii="Arial" w:hAnsi="Arial" w:cs="Arial"/>
          <w:sz w:val="20"/>
          <w:szCs w:val="20"/>
        </w:rPr>
        <w:t xml:space="preserve"> and patio doors for use by builders of residential and commercial wood-framed buildings. These include single family homes, townhouses, multi-story wood-framed residential buildings, commercial </w:t>
      </w:r>
      <w:proofErr w:type="gramStart"/>
      <w:r w:rsidR="008646AF" w:rsidRPr="001728ED">
        <w:rPr>
          <w:rFonts w:ascii="Arial" w:hAnsi="Arial" w:cs="Arial"/>
          <w:sz w:val="20"/>
          <w:szCs w:val="20"/>
        </w:rPr>
        <w:t>buildings</w:t>
      </w:r>
      <w:proofErr w:type="gramEnd"/>
      <w:r w:rsidR="008646AF" w:rsidRPr="001728ED">
        <w:rPr>
          <w:rFonts w:ascii="Arial" w:hAnsi="Arial" w:cs="Arial"/>
          <w:sz w:val="20"/>
          <w:szCs w:val="20"/>
        </w:rPr>
        <w:t xml:space="preserve"> and agricultural structures</w:t>
      </w:r>
      <w:r w:rsidR="008646AF">
        <w:rPr>
          <w:rFonts w:ascii="Arial" w:hAnsi="Arial" w:cs="Arial"/>
          <w:sz w:val="20"/>
          <w:szCs w:val="20"/>
        </w:rPr>
        <w:t>.</w:t>
      </w:r>
      <w:r w:rsidRPr="001728ED">
        <w:rPr>
          <w:rFonts w:ascii="Arial" w:hAnsi="Arial" w:cs="Arial"/>
          <w:sz w:val="20"/>
          <w:szCs w:val="20"/>
        </w:rPr>
        <w:t xml:space="preserve">  The Company's corporate office is located at </w:t>
      </w:r>
      <w:r w:rsidR="00776110">
        <w:rPr>
          <w:rFonts w:ascii="Arial" w:hAnsi="Arial" w:cs="Arial"/>
          <w:sz w:val="20"/>
          <w:szCs w:val="20"/>
        </w:rPr>
        <w:t>2005 Boxwood</w:t>
      </w:r>
      <w:r w:rsidR="00776110" w:rsidRPr="001728ED">
        <w:rPr>
          <w:rFonts w:ascii="Arial" w:hAnsi="Arial" w:cs="Arial"/>
          <w:sz w:val="20"/>
          <w:szCs w:val="20"/>
        </w:rPr>
        <w:t xml:space="preserve"> Road, Nanaimo, British Columbia V9</w:t>
      </w:r>
      <w:r w:rsidR="00776110">
        <w:rPr>
          <w:rFonts w:ascii="Arial" w:hAnsi="Arial" w:cs="Arial"/>
          <w:sz w:val="20"/>
          <w:szCs w:val="20"/>
        </w:rPr>
        <w:t>S</w:t>
      </w:r>
      <w:r w:rsidR="00776110" w:rsidRPr="001728ED">
        <w:rPr>
          <w:rFonts w:ascii="Arial" w:hAnsi="Arial" w:cs="Arial"/>
          <w:sz w:val="20"/>
          <w:szCs w:val="20"/>
        </w:rPr>
        <w:t xml:space="preserve"> </w:t>
      </w:r>
      <w:r w:rsidR="00776110">
        <w:rPr>
          <w:rFonts w:ascii="Arial" w:hAnsi="Arial" w:cs="Arial"/>
          <w:sz w:val="20"/>
          <w:szCs w:val="20"/>
        </w:rPr>
        <w:t>5X9</w:t>
      </w:r>
      <w:r w:rsidR="00776110" w:rsidRPr="001728ED">
        <w:rPr>
          <w:rFonts w:ascii="Arial" w:hAnsi="Arial" w:cs="Arial"/>
          <w:sz w:val="20"/>
          <w:szCs w:val="20"/>
        </w:rPr>
        <w:t>.</w:t>
      </w:r>
    </w:p>
    <w:p w14:paraId="1E53E0F0" w14:textId="2D759A9E" w:rsidR="009E01E6" w:rsidRPr="001728ED" w:rsidRDefault="009E01E6" w:rsidP="009E01E6">
      <w:pPr>
        <w:pStyle w:val="BodyText"/>
        <w:jc w:val="both"/>
        <w:rPr>
          <w:rFonts w:ascii="Arial" w:hAnsi="Arial" w:cs="Arial"/>
          <w:sz w:val="20"/>
          <w:szCs w:val="20"/>
        </w:rPr>
      </w:pPr>
    </w:p>
    <w:p w14:paraId="12E90CB0" w14:textId="25757867" w:rsidR="009E01E6" w:rsidRPr="001728ED" w:rsidRDefault="009E01E6" w:rsidP="009E01E6">
      <w:pPr>
        <w:pStyle w:val="BodyText"/>
        <w:jc w:val="both"/>
        <w:rPr>
          <w:rFonts w:ascii="Arial" w:hAnsi="Arial" w:cs="Arial"/>
          <w:sz w:val="20"/>
          <w:szCs w:val="20"/>
        </w:rPr>
      </w:pPr>
      <w:r w:rsidRPr="001728ED">
        <w:rPr>
          <w:rFonts w:ascii="Arial" w:hAnsi="Arial" w:cs="Arial"/>
          <w:sz w:val="20"/>
          <w:szCs w:val="20"/>
        </w:rPr>
        <w:t xml:space="preserve">Since going public on November 6, 2017, the Company has grown its Canadian footprint with six operations in British Columbia, </w:t>
      </w:r>
      <w:proofErr w:type="gramStart"/>
      <w:r w:rsidRPr="001728ED">
        <w:rPr>
          <w:rFonts w:ascii="Arial" w:hAnsi="Arial" w:cs="Arial"/>
          <w:sz w:val="20"/>
          <w:szCs w:val="20"/>
        </w:rPr>
        <w:t>Manitoba</w:t>
      </w:r>
      <w:proofErr w:type="gramEnd"/>
      <w:r w:rsidRPr="001728ED">
        <w:rPr>
          <w:rFonts w:ascii="Arial" w:hAnsi="Arial" w:cs="Arial"/>
          <w:sz w:val="20"/>
          <w:szCs w:val="20"/>
        </w:rPr>
        <w:t xml:space="preserve"> and Ontario. Its </w:t>
      </w:r>
      <w:r w:rsidR="00D514C6">
        <w:rPr>
          <w:rFonts w:ascii="Arial" w:hAnsi="Arial" w:cs="Arial"/>
          <w:sz w:val="20"/>
          <w:szCs w:val="20"/>
        </w:rPr>
        <w:t>six</w:t>
      </w:r>
      <w:r w:rsidRPr="001728ED">
        <w:rPr>
          <w:rFonts w:ascii="Arial" w:hAnsi="Arial" w:cs="Arial"/>
          <w:sz w:val="20"/>
          <w:szCs w:val="20"/>
        </w:rPr>
        <w:t xml:space="preserve"> plants consist of: Atlas Building Systems (“Atlas</w:t>
      </w:r>
      <w:proofErr w:type="gramStart"/>
      <w:r w:rsidRPr="001728ED">
        <w:rPr>
          <w:rFonts w:ascii="Arial" w:hAnsi="Arial" w:cs="Arial"/>
          <w:sz w:val="20"/>
          <w:szCs w:val="20"/>
        </w:rPr>
        <w:t>”)</w:t>
      </w:r>
      <w:r w:rsidR="00776110" w:rsidRPr="00776110">
        <w:rPr>
          <w:rFonts w:ascii="Arial" w:hAnsi="Arial" w:cs="Arial"/>
          <w:sz w:val="20"/>
          <w:szCs w:val="20"/>
        </w:rPr>
        <w:t xml:space="preserve"> </w:t>
      </w:r>
      <w:r w:rsidR="00776110">
        <w:rPr>
          <w:rFonts w:ascii="Arial" w:hAnsi="Arial" w:cs="Arial"/>
          <w:sz w:val="20"/>
          <w:szCs w:val="20"/>
        </w:rPr>
        <w:t xml:space="preserve"> </w:t>
      </w:r>
      <w:r w:rsidR="00776110" w:rsidRPr="0072481F">
        <w:rPr>
          <w:rFonts w:ascii="Arial" w:hAnsi="Arial" w:cs="Arial"/>
          <w:sz w:val="20"/>
          <w:szCs w:val="20"/>
        </w:rPr>
        <w:t>(</w:t>
      </w:r>
      <w:proofErr w:type="gramEnd"/>
      <w:r w:rsidR="00776110" w:rsidRPr="0072481F">
        <w:rPr>
          <w:rFonts w:ascii="Arial" w:hAnsi="Arial" w:cs="Arial"/>
          <w:sz w:val="20"/>
          <w:szCs w:val="20"/>
        </w:rPr>
        <w:t>formally Coastal Windows)</w:t>
      </w:r>
      <w:r w:rsidRPr="001728ED">
        <w:rPr>
          <w:rFonts w:ascii="Arial" w:hAnsi="Arial" w:cs="Arial"/>
          <w:sz w:val="20"/>
          <w:szCs w:val="20"/>
        </w:rPr>
        <w:t>, Pacer Building Components (“Pacer”), Clinton Building Components (“Clinton”), Satellite Building Components (“Satellite”), South Central Building Systems (“SC”)</w:t>
      </w:r>
      <w:r w:rsidR="008646AF">
        <w:rPr>
          <w:rFonts w:ascii="Arial" w:hAnsi="Arial" w:cs="Arial"/>
          <w:sz w:val="20"/>
          <w:szCs w:val="20"/>
        </w:rPr>
        <w:t>, and Novum Building Components (“Novum”)</w:t>
      </w:r>
      <w:r w:rsidR="00271B27">
        <w:rPr>
          <w:rFonts w:ascii="Arial" w:hAnsi="Arial" w:cs="Arial"/>
          <w:sz w:val="20"/>
          <w:szCs w:val="20"/>
        </w:rPr>
        <w:t xml:space="preserve">. </w:t>
      </w:r>
      <w:proofErr w:type="gramStart"/>
      <w:r w:rsidR="00271B27">
        <w:rPr>
          <w:rFonts w:ascii="Arial" w:hAnsi="Arial" w:cs="Arial"/>
          <w:sz w:val="20"/>
          <w:szCs w:val="20"/>
        </w:rPr>
        <w:t>Subsequent to</w:t>
      </w:r>
      <w:proofErr w:type="gramEnd"/>
      <w:r w:rsidR="00271B27">
        <w:rPr>
          <w:rFonts w:ascii="Arial" w:hAnsi="Arial" w:cs="Arial"/>
          <w:sz w:val="20"/>
          <w:szCs w:val="20"/>
        </w:rPr>
        <w:t xml:space="preserve"> the year ended December 31, 2021, the Company acquired Hi-Tec Industries (“Hi-Tec”) as its seventh plant. </w:t>
      </w:r>
    </w:p>
    <w:bookmarkEnd w:id="4"/>
    <w:bookmarkEnd w:id="5"/>
    <w:bookmarkEnd w:id="6"/>
    <w:bookmarkEnd w:id="7"/>
    <w:p w14:paraId="6039B665" w14:textId="77777777" w:rsidR="009E01E6" w:rsidRPr="001728ED" w:rsidRDefault="009E01E6" w:rsidP="009E01E6">
      <w:pPr>
        <w:spacing w:line="218" w:lineRule="auto"/>
        <w:jc w:val="both"/>
        <w:rPr>
          <w:rFonts w:ascii="Arial" w:hAnsi="Arial" w:cs="Arial"/>
          <w:sz w:val="20"/>
          <w:szCs w:val="20"/>
          <w:highlight w:val="yellow"/>
        </w:rPr>
      </w:pPr>
    </w:p>
    <w:p w14:paraId="21172074" w14:textId="77777777" w:rsidR="009E01E6" w:rsidRPr="001728ED" w:rsidRDefault="009E01E6" w:rsidP="009E01E6">
      <w:pPr>
        <w:pStyle w:val="Heading5"/>
        <w:spacing w:before="60"/>
        <w:ind w:left="0"/>
        <w:jc w:val="both"/>
        <w:rPr>
          <w:rFonts w:ascii="Arial" w:hAnsi="Arial" w:cs="Arial"/>
          <w:sz w:val="20"/>
          <w:szCs w:val="20"/>
        </w:rPr>
      </w:pPr>
      <w:r w:rsidRPr="001728ED">
        <w:rPr>
          <w:rFonts w:ascii="Arial" w:hAnsi="Arial" w:cs="Arial"/>
          <w:noProof/>
          <w:sz w:val="20"/>
          <w:szCs w:val="20"/>
        </w:rPr>
        <mc:AlternateContent>
          <mc:Choice Requires="wps">
            <w:drawing>
              <wp:anchor distT="0" distB="0" distL="114300" distR="114300" simplePos="0" relativeHeight="251660288" behindDoc="0" locked="0" layoutInCell="1" allowOverlap="1" wp14:anchorId="71D735BF" wp14:editId="6835D14D">
                <wp:simplePos x="0" y="0"/>
                <wp:positionH relativeFrom="page">
                  <wp:posOffset>823595</wp:posOffset>
                </wp:positionH>
                <wp:positionV relativeFrom="paragraph">
                  <wp:posOffset>201930</wp:posOffset>
                </wp:positionV>
                <wp:extent cx="6219825" cy="0"/>
                <wp:effectExtent l="13970" t="13970" r="5080" b="5080"/>
                <wp:wrapNone/>
                <wp:docPr id="315"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B5445" id="Line 53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85pt,15.9pt" to="554.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" strokeweight=".48pt">
                <w10:wrap anchorx="page"/>
              </v:line>
            </w:pict>
          </mc:Fallback>
        </mc:AlternateContent>
      </w:r>
      <w:r w:rsidRPr="001728ED">
        <w:rPr>
          <w:rFonts w:ascii="Arial" w:hAnsi="Arial" w:cs="Arial"/>
          <w:w w:val="90"/>
          <w:sz w:val="20"/>
          <w:szCs w:val="20"/>
        </w:rPr>
        <w:t>OVERALL STRATEGY</w:t>
      </w:r>
    </w:p>
    <w:p w14:paraId="0F44BADD" w14:textId="77777777" w:rsidR="009E01E6" w:rsidRPr="001728ED" w:rsidRDefault="009E01E6" w:rsidP="009E01E6">
      <w:pPr>
        <w:pStyle w:val="BodyText"/>
        <w:ind w:left="367"/>
        <w:rPr>
          <w:rFonts w:ascii="Arial" w:hAnsi="Arial" w:cs="Arial"/>
          <w:w w:val="95"/>
          <w:sz w:val="20"/>
          <w:szCs w:val="20"/>
        </w:rPr>
      </w:pPr>
    </w:p>
    <w:p w14:paraId="5AC17704" w14:textId="5F25DC1B" w:rsidR="009E01E6" w:rsidRPr="001728ED" w:rsidRDefault="009E01E6" w:rsidP="009E01E6">
      <w:pPr>
        <w:spacing w:line="218" w:lineRule="auto"/>
        <w:jc w:val="both"/>
        <w:rPr>
          <w:rFonts w:ascii="Arial" w:hAnsi="Arial" w:cs="Arial"/>
          <w:sz w:val="20"/>
          <w:szCs w:val="20"/>
        </w:rPr>
      </w:pPr>
      <w:bookmarkStart w:id="8" w:name="_Hlk6137686"/>
      <w:r w:rsidRPr="001728ED">
        <w:rPr>
          <w:rFonts w:ascii="Arial" w:hAnsi="Arial" w:cs="Arial"/>
          <w:sz w:val="20"/>
          <w:szCs w:val="20"/>
        </w:rPr>
        <w:t xml:space="preserve">The Company’s strategy is focused on profitability and organic revenue growth within its current markets, and the pursuit of a roll-up acquisition strategy to consolidate similar companies operating in the </w:t>
      </w:r>
      <w:r w:rsidR="00BE299C">
        <w:rPr>
          <w:rFonts w:ascii="Arial" w:hAnsi="Arial" w:cs="Arial"/>
          <w:sz w:val="20"/>
          <w:szCs w:val="20"/>
        </w:rPr>
        <w:t xml:space="preserve">truss and </w:t>
      </w:r>
      <w:r w:rsidRPr="001728ED">
        <w:rPr>
          <w:rFonts w:ascii="Arial" w:hAnsi="Arial" w:cs="Arial"/>
          <w:sz w:val="20"/>
          <w:szCs w:val="20"/>
        </w:rPr>
        <w:t xml:space="preserve">engineered wood products industry across Canada. </w:t>
      </w:r>
    </w:p>
    <w:p w14:paraId="4AFFC046" w14:textId="77777777" w:rsidR="009E01E6" w:rsidRPr="001728ED" w:rsidRDefault="009E01E6" w:rsidP="009E01E6">
      <w:pPr>
        <w:spacing w:line="218" w:lineRule="auto"/>
        <w:jc w:val="both"/>
        <w:rPr>
          <w:rFonts w:ascii="Arial" w:hAnsi="Arial" w:cs="Arial"/>
          <w:sz w:val="20"/>
          <w:szCs w:val="20"/>
        </w:rPr>
      </w:pPr>
    </w:p>
    <w:p w14:paraId="508025E1" w14:textId="77777777" w:rsidR="009E01E6" w:rsidRPr="001728ED" w:rsidRDefault="009E01E6" w:rsidP="009E01E6">
      <w:pPr>
        <w:spacing w:line="218" w:lineRule="auto"/>
        <w:jc w:val="both"/>
        <w:rPr>
          <w:rFonts w:ascii="Arial" w:hAnsi="Arial" w:cs="Arial"/>
          <w:sz w:val="20"/>
          <w:szCs w:val="20"/>
        </w:rPr>
      </w:pPr>
      <w:r w:rsidRPr="001728ED">
        <w:rPr>
          <w:rFonts w:ascii="Arial" w:hAnsi="Arial" w:cs="Arial"/>
          <w:sz w:val="20"/>
          <w:szCs w:val="20"/>
        </w:rPr>
        <w:t>To pursue its business strategy, the Company’s specific objectives are to:</w:t>
      </w:r>
    </w:p>
    <w:p w14:paraId="5F3A0A85" w14:textId="77777777" w:rsidR="009E01E6" w:rsidRPr="001728ED" w:rsidRDefault="009E01E6" w:rsidP="009E01E6">
      <w:pPr>
        <w:spacing w:line="218" w:lineRule="auto"/>
        <w:jc w:val="both"/>
        <w:rPr>
          <w:rFonts w:ascii="Arial" w:hAnsi="Arial" w:cs="Arial"/>
          <w:sz w:val="20"/>
          <w:szCs w:val="20"/>
        </w:rPr>
      </w:pPr>
    </w:p>
    <w:p w14:paraId="50B26BBA" w14:textId="77777777" w:rsidR="009E01E6" w:rsidRPr="001728ED" w:rsidRDefault="009E01E6" w:rsidP="009E01E6">
      <w:pPr>
        <w:pStyle w:val="ListParagraph"/>
        <w:numPr>
          <w:ilvl w:val="0"/>
          <w:numId w:val="4"/>
        </w:numPr>
        <w:spacing w:line="218" w:lineRule="auto"/>
        <w:jc w:val="both"/>
        <w:rPr>
          <w:rFonts w:ascii="Arial" w:hAnsi="Arial" w:cs="Arial"/>
          <w:sz w:val="20"/>
          <w:szCs w:val="20"/>
        </w:rPr>
      </w:pPr>
      <w:r w:rsidRPr="001728ED">
        <w:rPr>
          <w:rFonts w:ascii="Arial" w:hAnsi="Arial" w:cs="Arial"/>
          <w:sz w:val="20"/>
          <w:szCs w:val="20"/>
        </w:rPr>
        <w:t>Drive revenue growth within all operating markets by developing and enhancing the Company’s sales teams, products, and services.</w:t>
      </w:r>
    </w:p>
    <w:p w14:paraId="67DBAF7C" w14:textId="4B4871CB" w:rsidR="009E01E6" w:rsidRPr="001728ED" w:rsidRDefault="009E01E6" w:rsidP="009E01E6">
      <w:pPr>
        <w:pStyle w:val="ListParagraph"/>
        <w:numPr>
          <w:ilvl w:val="0"/>
          <w:numId w:val="4"/>
        </w:numPr>
        <w:spacing w:line="218" w:lineRule="auto"/>
        <w:jc w:val="both"/>
        <w:rPr>
          <w:rFonts w:ascii="Arial" w:hAnsi="Arial" w:cs="Arial"/>
          <w:sz w:val="20"/>
          <w:szCs w:val="20"/>
        </w:rPr>
      </w:pPr>
      <w:r w:rsidRPr="001728ED">
        <w:rPr>
          <w:rFonts w:ascii="Arial" w:hAnsi="Arial" w:cs="Arial"/>
          <w:sz w:val="20"/>
          <w:szCs w:val="20"/>
        </w:rPr>
        <w:t>Lower operating costs by introducing scale economies in procurement and leveraging the strategic deployment of design, engineering</w:t>
      </w:r>
      <w:r w:rsidR="00B260F3">
        <w:rPr>
          <w:rFonts w:ascii="Arial" w:hAnsi="Arial" w:cs="Arial"/>
          <w:sz w:val="20"/>
          <w:szCs w:val="20"/>
        </w:rPr>
        <w:t>,</w:t>
      </w:r>
      <w:r w:rsidRPr="001728ED">
        <w:rPr>
          <w:rFonts w:ascii="Arial" w:hAnsi="Arial" w:cs="Arial"/>
          <w:sz w:val="20"/>
          <w:szCs w:val="20"/>
        </w:rPr>
        <w:t xml:space="preserve"> and transportation resources for the benefit of all operating locations.</w:t>
      </w:r>
      <w:r w:rsidR="00D75590">
        <w:rPr>
          <w:rFonts w:ascii="Arial" w:hAnsi="Arial" w:cs="Arial"/>
          <w:sz w:val="20"/>
          <w:szCs w:val="20"/>
        </w:rPr>
        <w:t xml:space="preserve"> </w:t>
      </w:r>
    </w:p>
    <w:p w14:paraId="71E81DFB" w14:textId="60E5EB33" w:rsidR="009E01E6" w:rsidRPr="001728ED" w:rsidRDefault="009E01E6" w:rsidP="009E01E6">
      <w:pPr>
        <w:pStyle w:val="ListParagraph"/>
        <w:numPr>
          <w:ilvl w:val="0"/>
          <w:numId w:val="4"/>
        </w:numPr>
        <w:spacing w:line="218" w:lineRule="auto"/>
        <w:jc w:val="both"/>
        <w:rPr>
          <w:rFonts w:ascii="Arial" w:hAnsi="Arial" w:cs="Arial"/>
          <w:sz w:val="20"/>
          <w:szCs w:val="20"/>
        </w:rPr>
      </w:pPr>
      <w:r w:rsidRPr="001728ED">
        <w:rPr>
          <w:rFonts w:ascii="Arial" w:hAnsi="Arial" w:cs="Arial"/>
          <w:sz w:val="20"/>
          <w:szCs w:val="20"/>
        </w:rPr>
        <w:t xml:space="preserve">Broaden the product offerings available within each of the Company’s operating markets. A core focus was to target roof truss manufacturing companies. However, there is massive organic growth potential in complementary product lines such as </w:t>
      </w:r>
      <w:r w:rsidR="00D514C6">
        <w:rPr>
          <w:rFonts w:ascii="Arial" w:hAnsi="Arial" w:cs="Arial"/>
          <w:sz w:val="20"/>
          <w:szCs w:val="20"/>
        </w:rPr>
        <w:t xml:space="preserve">all types of </w:t>
      </w:r>
      <w:r w:rsidRPr="001728ED">
        <w:rPr>
          <w:rFonts w:ascii="Arial" w:hAnsi="Arial" w:cs="Arial"/>
          <w:sz w:val="20"/>
          <w:szCs w:val="20"/>
        </w:rPr>
        <w:t>engineered wood</w:t>
      </w:r>
      <w:r w:rsidR="00D514C6">
        <w:rPr>
          <w:rFonts w:ascii="Arial" w:hAnsi="Arial" w:cs="Arial"/>
          <w:sz w:val="20"/>
          <w:szCs w:val="20"/>
        </w:rPr>
        <w:t xml:space="preserve">, </w:t>
      </w:r>
      <w:r w:rsidRPr="001728ED">
        <w:rPr>
          <w:rFonts w:ascii="Arial" w:hAnsi="Arial" w:cs="Arial"/>
          <w:sz w:val="20"/>
          <w:szCs w:val="20"/>
        </w:rPr>
        <w:t xml:space="preserve">engineered floor trusses, </w:t>
      </w:r>
      <w:r w:rsidR="00B260F3">
        <w:rPr>
          <w:rFonts w:ascii="Arial" w:hAnsi="Arial" w:cs="Arial"/>
          <w:sz w:val="20"/>
          <w:szCs w:val="20"/>
        </w:rPr>
        <w:t xml:space="preserve">and </w:t>
      </w:r>
      <w:r w:rsidRPr="001728ED">
        <w:rPr>
          <w:rFonts w:ascii="Arial" w:hAnsi="Arial" w:cs="Arial"/>
          <w:sz w:val="20"/>
          <w:szCs w:val="20"/>
        </w:rPr>
        <w:t>wall-panel</w:t>
      </w:r>
      <w:r w:rsidR="00674284">
        <w:rPr>
          <w:rFonts w:ascii="Arial" w:hAnsi="Arial" w:cs="Arial"/>
          <w:sz w:val="20"/>
          <w:szCs w:val="20"/>
        </w:rPr>
        <w:t>s</w:t>
      </w:r>
      <w:r w:rsidRPr="001728ED">
        <w:rPr>
          <w:rFonts w:ascii="Arial" w:hAnsi="Arial" w:cs="Arial"/>
          <w:sz w:val="20"/>
          <w:szCs w:val="20"/>
        </w:rPr>
        <w:t xml:space="preserve"> and modular systems. The Company is actively pursuing the development and introduction of complementary product lines across all its facilities.</w:t>
      </w:r>
    </w:p>
    <w:p w14:paraId="70D322A3" w14:textId="77777777" w:rsidR="009E01E6" w:rsidRPr="001728ED" w:rsidRDefault="009E01E6" w:rsidP="009E01E6">
      <w:pPr>
        <w:pStyle w:val="ListParagraph"/>
        <w:numPr>
          <w:ilvl w:val="0"/>
          <w:numId w:val="4"/>
        </w:numPr>
        <w:spacing w:line="218" w:lineRule="auto"/>
        <w:jc w:val="both"/>
        <w:rPr>
          <w:rFonts w:ascii="Arial" w:hAnsi="Arial" w:cs="Arial"/>
          <w:sz w:val="20"/>
          <w:szCs w:val="20"/>
        </w:rPr>
      </w:pPr>
      <w:r w:rsidRPr="001728ED">
        <w:rPr>
          <w:rFonts w:ascii="Arial" w:hAnsi="Arial" w:cs="Arial"/>
          <w:sz w:val="20"/>
          <w:szCs w:val="20"/>
        </w:rPr>
        <w:t xml:space="preserve">Acquire revenue and profit accretive businesses that strategically expand the Company’s geographic footprint. </w:t>
      </w:r>
    </w:p>
    <w:p w14:paraId="6EE4BC2D" w14:textId="77777777" w:rsidR="009E01E6" w:rsidRPr="001728ED" w:rsidRDefault="009E01E6" w:rsidP="009E01E6">
      <w:pPr>
        <w:spacing w:line="218" w:lineRule="auto"/>
        <w:jc w:val="both"/>
        <w:rPr>
          <w:rFonts w:ascii="Arial" w:hAnsi="Arial" w:cs="Arial"/>
          <w:sz w:val="20"/>
          <w:szCs w:val="20"/>
        </w:rPr>
      </w:pPr>
    </w:p>
    <w:p w14:paraId="5813F904" w14:textId="77777777" w:rsidR="009E01E6" w:rsidRPr="001728ED" w:rsidRDefault="009E01E6" w:rsidP="009E01E6">
      <w:pPr>
        <w:spacing w:line="218" w:lineRule="auto"/>
        <w:jc w:val="both"/>
        <w:rPr>
          <w:rFonts w:ascii="Arial" w:hAnsi="Arial" w:cs="Arial"/>
          <w:sz w:val="20"/>
          <w:szCs w:val="20"/>
        </w:rPr>
      </w:pPr>
      <w:r w:rsidRPr="001728ED">
        <w:rPr>
          <w:rFonts w:ascii="Arial" w:hAnsi="Arial" w:cs="Arial"/>
          <w:sz w:val="20"/>
          <w:szCs w:val="20"/>
        </w:rPr>
        <w:t>The Company believes its strategy provides for several competitive advantages, including:</w:t>
      </w:r>
    </w:p>
    <w:p w14:paraId="1144F33C" w14:textId="77777777" w:rsidR="009E01E6" w:rsidRPr="001728ED" w:rsidRDefault="009E01E6" w:rsidP="009E01E6">
      <w:pPr>
        <w:spacing w:line="218" w:lineRule="auto"/>
        <w:jc w:val="both"/>
        <w:rPr>
          <w:rFonts w:ascii="Arial" w:hAnsi="Arial" w:cs="Arial"/>
          <w:sz w:val="20"/>
          <w:szCs w:val="20"/>
        </w:rPr>
      </w:pPr>
    </w:p>
    <w:p w14:paraId="1D34040A" w14:textId="77777777" w:rsidR="009E01E6" w:rsidRPr="001728ED" w:rsidRDefault="009E01E6" w:rsidP="009E01E6">
      <w:pPr>
        <w:pStyle w:val="ListParagraph"/>
        <w:numPr>
          <w:ilvl w:val="0"/>
          <w:numId w:val="1"/>
        </w:numPr>
        <w:spacing w:line="218" w:lineRule="auto"/>
        <w:ind w:left="360"/>
        <w:jc w:val="both"/>
        <w:rPr>
          <w:rFonts w:ascii="Arial" w:hAnsi="Arial" w:cs="Arial"/>
          <w:sz w:val="20"/>
          <w:szCs w:val="20"/>
        </w:rPr>
      </w:pPr>
      <w:r w:rsidRPr="001728ED">
        <w:rPr>
          <w:rFonts w:ascii="Arial" w:hAnsi="Arial" w:cs="Arial"/>
          <w:sz w:val="20"/>
          <w:szCs w:val="20"/>
        </w:rPr>
        <w:t xml:space="preserve">Strong regional and national </w:t>
      </w:r>
      <w:proofErr w:type="gramStart"/>
      <w:r w:rsidRPr="001728ED">
        <w:rPr>
          <w:rFonts w:ascii="Arial" w:hAnsi="Arial" w:cs="Arial"/>
          <w:sz w:val="20"/>
          <w:szCs w:val="20"/>
        </w:rPr>
        <w:t>leadership;</w:t>
      </w:r>
      <w:proofErr w:type="gramEnd"/>
    </w:p>
    <w:p w14:paraId="6F8BB2CB" w14:textId="77777777" w:rsidR="009E01E6" w:rsidRPr="001728ED" w:rsidRDefault="009E01E6" w:rsidP="009E01E6">
      <w:pPr>
        <w:pStyle w:val="ListParagraph"/>
        <w:numPr>
          <w:ilvl w:val="0"/>
          <w:numId w:val="1"/>
        </w:numPr>
        <w:spacing w:line="218" w:lineRule="auto"/>
        <w:ind w:left="360"/>
        <w:jc w:val="both"/>
        <w:rPr>
          <w:rFonts w:ascii="Arial" w:hAnsi="Arial" w:cs="Arial"/>
          <w:sz w:val="20"/>
          <w:szCs w:val="20"/>
        </w:rPr>
      </w:pPr>
      <w:r w:rsidRPr="001728ED">
        <w:rPr>
          <w:rFonts w:ascii="Arial" w:hAnsi="Arial" w:cs="Arial"/>
          <w:sz w:val="20"/>
          <w:szCs w:val="20"/>
        </w:rPr>
        <w:t xml:space="preserve">Accumulated design and manufacturing know-how and deep operational </w:t>
      </w:r>
      <w:proofErr w:type="gramStart"/>
      <w:r w:rsidRPr="001728ED">
        <w:rPr>
          <w:rFonts w:ascii="Arial" w:hAnsi="Arial" w:cs="Arial"/>
          <w:sz w:val="20"/>
          <w:szCs w:val="20"/>
        </w:rPr>
        <w:t>expertise;</w:t>
      </w:r>
      <w:proofErr w:type="gramEnd"/>
    </w:p>
    <w:p w14:paraId="5D571AAB" w14:textId="77777777" w:rsidR="009E01E6" w:rsidRPr="001728ED" w:rsidRDefault="009E01E6" w:rsidP="009E01E6">
      <w:pPr>
        <w:pStyle w:val="ListParagraph"/>
        <w:numPr>
          <w:ilvl w:val="0"/>
          <w:numId w:val="1"/>
        </w:numPr>
        <w:spacing w:line="218" w:lineRule="auto"/>
        <w:ind w:left="360"/>
        <w:jc w:val="both"/>
        <w:rPr>
          <w:rFonts w:ascii="Arial" w:hAnsi="Arial" w:cs="Arial"/>
          <w:sz w:val="20"/>
          <w:szCs w:val="20"/>
        </w:rPr>
      </w:pPr>
      <w:r w:rsidRPr="001728ED">
        <w:rPr>
          <w:rFonts w:ascii="Arial" w:hAnsi="Arial" w:cs="Arial"/>
          <w:sz w:val="20"/>
          <w:szCs w:val="20"/>
        </w:rPr>
        <w:t xml:space="preserve">Design, engineering and manufacturing </w:t>
      </w:r>
      <w:proofErr w:type="gramStart"/>
      <w:r w:rsidRPr="001728ED">
        <w:rPr>
          <w:rFonts w:ascii="Arial" w:hAnsi="Arial" w:cs="Arial"/>
          <w:sz w:val="20"/>
          <w:szCs w:val="20"/>
        </w:rPr>
        <w:t>capabilities;</w:t>
      </w:r>
      <w:proofErr w:type="gramEnd"/>
    </w:p>
    <w:p w14:paraId="71A6F4F3" w14:textId="77777777" w:rsidR="009E01E6" w:rsidRPr="001728ED" w:rsidRDefault="009E01E6" w:rsidP="009E01E6">
      <w:pPr>
        <w:pStyle w:val="ListParagraph"/>
        <w:numPr>
          <w:ilvl w:val="0"/>
          <w:numId w:val="1"/>
        </w:numPr>
        <w:spacing w:line="218" w:lineRule="auto"/>
        <w:ind w:left="360"/>
        <w:jc w:val="both"/>
        <w:rPr>
          <w:rFonts w:ascii="Arial" w:hAnsi="Arial" w:cs="Arial"/>
          <w:sz w:val="20"/>
          <w:szCs w:val="20"/>
        </w:rPr>
      </w:pPr>
      <w:r w:rsidRPr="001728ED">
        <w:rPr>
          <w:rFonts w:ascii="Arial" w:hAnsi="Arial" w:cs="Arial"/>
          <w:sz w:val="20"/>
          <w:szCs w:val="20"/>
        </w:rPr>
        <w:t xml:space="preserve">Strong regional networks of loyal </w:t>
      </w:r>
      <w:proofErr w:type="gramStart"/>
      <w:r w:rsidRPr="001728ED">
        <w:rPr>
          <w:rFonts w:ascii="Arial" w:hAnsi="Arial" w:cs="Arial"/>
          <w:sz w:val="20"/>
          <w:szCs w:val="20"/>
        </w:rPr>
        <w:t>clientele;</w:t>
      </w:r>
      <w:proofErr w:type="gramEnd"/>
    </w:p>
    <w:p w14:paraId="2D0FFE85" w14:textId="48D0B0C3" w:rsidR="009E01E6" w:rsidRPr="001728ED" w:rsidRDefault="009E01E6" w:rsidP="009E01E6">
      <w:pPr>
        <w:pStyle w:val="ListParagraph"/>
        <w:numPr>
          <w:ilvl w:val="0"/>
          <w:numId w:val="1"/>
        </w:numPr>
        <w:spacing w:line="218" w:lineRule="auto"/>
        <w:ind w:left="360"/>
        <w:jc w:val="both"/>
        <w:rPr>
          <w:rFonts w:ascii="Arial" w:hAnsi="Arial" w:cs="Arial"/>
          <w:sz w:val="20"/>
          <w:szCs w:val="20"/>
        </w:rPr>
      </w:pPr>
      <w:r w:rsidRPr="001728ED">
        <w:rPr>
          <w:rFonts w:ascii="Arial" w:hAnsi="Arial" w:cs="Arial"/>
          <w:sz w:val="20"/>
          <w:szCs w:val="20"/>
        </w:rPr>
        <w:t xml:space="preserve">Scalability of </w:t>
      </w:r>
      <w:proofErr w:type="gramStart"/>
      <w:r w:rsidRPr="001728ED">
        <w:rPr>
          <w:rFonts w:ascii="Arial" w:hAnsi="Arial" w:cs="Arial"/>
          <w:sz w:val="20"/>
          <w:szCs w:val="20"/>
        </w:rPr>
        <w:t>operations;</w:t>
      </w:r>
      <w:proofErr w:type="gramEnd"/>
      <w:r w:rsidRPr="001728ED">
        <w:rPr>
          <w:rFonts w:ascii="Arial" w:hAnsi="Arial" w:cs="Arial"/>
          <w:sz w:val="20"/>
          <w:szCs w:val="20"/>
        </w:rPr>
        <w:t xml:space="preserve"> </w:t>
      </w:r>
    </w:p>
    <w:p w14:paraId="59A4120D" w14:textId="38E9E761" w:rsidR="009E01E6" w:rsidRDefault="009E01E6" w:rsidP="009E01E6">
      <w:pPr>
        <w:pStyle w:val="ListParagraph"/>
        <w:numPr>
          <w:ilvl w:val="0"/>
          <w:numId w:val="1"/>
        </w:numPr>
        <w:spacing w:line="218" w:lineRule="auto"/>
        <w:ind w:left="360"/>
        <w:jc w:val="both"/>
        <w:rPr>
          <w:rFonts w:ascii="Arial" w:hAnsi="Arial" w:cs="Arial"/>
          <w:sz w:val="20"/>
          <w:szCs w:val="20"/>
        </w:rPr>
      </w:pPr>
      <w:r w:rsidRPr="001728ED">
        <w:rPr>
          <w:rFonts w:ascii="Arial" w:hAnsi="Arial" w:cs="Arial"/>
          <w:sz w:val="20"/>
          <w:szCs w:val="20"/>
        </w:rPr>
        <w:t>Replicable operational practices and methods</w:t>
      </w:r>
      <w:r w:rsidR="00DD5024">
        <w:rPr>
          <w:rFonts w:ascii="Arial" w:hAnsi="Arial" w:cs="Arial"/>
          <w:sz w:val="20"/>
          <w:szCs w:val="20"/>
        </w:rPr>
        <w:t>; and</w:t>
      </w:r>
    </w:p>
    <w:p w14:paraId="005E349B" w14:textId="2C7F858F" w:rsidR="00DD5024" w:rsidRPr="001728ED" w:rsidRDefault="00DD5024" w:rsidP="009E01E6">
      <w:pPr>
        <w:pStyle w:val="ListParagraph"/>
        <w:numPr>
          <w:ilvl w:val="0"/>
          <w:numId w:val="1"/>
        </w:numPr>
        <w:spacing w:line="218" w:lineRule="auto"/>
        <w:ind w:left="360"/>
        <w:jc w:val="both"/>
        <w:rPr>
          <w:rFonts w:ascii="Arial" w:hAnsi="Arial" w:cs="Arial"/>
          <w:sz w:val="20"/>
          <w:szCs w:val="20"/>
        </w:rPr>
      </w:pPr>
      <w:r>
        <w:rPr>
          <w:rFonts w:ascii="Arial" w:hAnsi="Arial" w:cs="Arial"/>
          <w:sz w:val="20"/>
          <w:szCs w:val="20"/>
        </w:rPr>
        <w:t>Employee growth through enhanced training and advancement opportunities nationally.</w:t>
      </w:r>
    </w:p>
    <w:bookmarkEnd w:id="8"/>
    <w:p w14:paraId="77E90CEC" w14:textId="77777777" w:rsidR="009E01E6" w:rsidRPr="001728ED" w:rsidRDefault="009E01E6" w:rsidP="009E01E6">
      <w:pPr>
        <w:spacing w:line="218" w:lineRule="auto"/>
        <w:jc w:val="both"/>
        <w:rPr>
          <w:rFonts w:ascii="Arial" w:hAnsi="Arial" w:cs="Arial"/>
          <w:sz w:val="20"/>
          <w:szCs w:val="20"/>
        </w:rPr>
      </w:pPr>
    </w:p>
    <w:p w14:paraId="42A1B48B" w14:textId="5BF1BED4" w:rsidR="009E01E6" w:rsidRPr="001728ED" w:rsidRDefault="009E01E6" w:rsidP="009E01E6">
      <w:pPr>
        <w:spacing w:line="218" w:lineRule="auto"/>
        <w:jc w:val="both"/>
        <w:rPr>
          <w:rFonts w:ascii="Arial" w:hAnsi="Arial" w:cs="Arial"/>
          <w:sz w:val="20"/>
          <w:szCs w:val="20"/>
        </w:rPr>
      </w:pPr>
      <w:r w:rsidRPr="001728ED">
        <w:rPr>
          <w:rFonts w:ascii="Arial" w:hAnsi="Arial" w:cs="Arial"/>
          <w:sz w:val="20"/>
          <w:szCs w:val="20"/>
        </w:rPr>
        <w:t xml:space="preserve">The strong performance of the Company’s founding Atlas operations in Nanaimo, BC, serves as the Company’s benchmark for operational and financial performance, and for evaluating potential targets in the truss and engineered wood products sector. </w:t>
      </w:r>
    </w:p>
    <w:p w14:paraId="5098073F" w14:textId="77777777" w:rsidR="009E01E6" w:rsidRPr="001728ED" w:rsidRDefault="009E01E6" w:rsidP="009E01E6">
      <w:pPr>
        <w:spacing w:line="218" w:lineRule="auto"/>
        <w:jc w:val="both"/>
        <w:rPr>
          <w:rFonts w:ascii="Arial" w:hAnsi="Arial" w:cs="Arial"/>
          <w:sz w:val="20"/>
          <w:szCs w:val="20"/>
        </w:rPr>
      </w:pPr>
    </w:p>
    <w:p w14:paraId="735AD20D" w14:textId="738A781F" w:rsidR="009E01E6" w:rsidRPr="001728ED" w:rsidRDefault="009E01E6" w:rsidP="009E01E6">
      <w:pPr>
        <w:spacing w:line="218" w:lineRule="auto"/>
        <w:jc w:val="both"/>
        <w:rPr>
          <w:rFonts w:ascii="Arial" w:hAnsi="Arial" w:cs="Arial"/>
          <w:sz w:val="20"/>
          <w:szCs w:val="20"/>
        </w:rPr>
      </w:pPr>
      <w:r w:rsidRPr="001728ED">
        <w:rPr>
          <w:rFonts w:ascii="Arial" w:hAnsi="Arial" w:cs="Arial"/>
          <w:sz w:val="20"/>
          <w:szCs w:val="20"/>
        </w:rPr>
        <w:t>The Company believes the owners of many Canadian truss companies will be seeking to sell their businesses over the next several years.  The Company’s acquisition program has been designed to provide an exit strategy for these owner/managers and to integrate target companies in a manner that strategically increases the Company’s share of the Canadian market, while positioning the acquired entities for significant growth</w:t>
      </w:r>
      <w:r w:rsidR="00DD5024">
        <w:rPr>
          <w:rFonts w:ascii="Arial" w:hAnsi="Arial" w:cs="Arial"/>
          <w:sz w:val="20"/>
          <w:szCs w:val="20"/>
        </w:rPr>
        <w:t xml:space="preserve"> in their respective markets and for their pre-existing employees</w:t>
      </w:r>
      <w:r w:rsidRPr="001728ED">
        <w:rPr>
          <w:rFonts w:ascii="Arial" w:hAnsi="Arial" w:cs="Arial"/>
          <w:sz w:val="20"/>
          <w:szCs w:val="20"/>
        </w:rPr>
        <w:t xml:space="preserve">. </w:t>
      </w:r>
    </w:p>
    <w:p w14:paraId="7E393893" w14:textId="77777777" w:rsidR="009E01E6" w:rsidRPr="001728ED" w:rsidRDefault="009E01E6" w:rsidP="009E01E6">
      <w:pPr>
        <w:spacing w:line="218" w:lineRule="auto"/>
        <w:ind w:firstLine="360"/>
        <w:jc w:val="both"/>
        <w:rPr>
          <w:rFonts w:ascii="Arial" w:hAnsi="Arial" w:cs="Arial"/>
          <w:sz w:val="20"/>
          <w:szCs w:val="20"/>
        </w:rPr>
      </w:pPr>
    </w:p>
    <w:p w14:paraId="7D02CEF2" w14:textId="2698D771" w:rsidR="0044477E" w:rsidRDefault="009E01E6" w:rsidP="007D5A23">
      <w:pPr>
        <w:spacing w:line="218" w:lineRule="auto"/>
        <w:jc w:val="both"/>
        <w:rPr>
          <w:rFonts w:ascii="Arial" w:hAnsi="Arial" w:cs="Arial"/>
          <w:sz w:val="20"/>
          <w:szCs w:val="20"/>
        </w:rPr>
      </w:pPr>
      <w:r w:rsidRPr="001728ED">
        <w:rPr>
          <w:rFonts w:ascii="Arial" w:hAnsi="Arial" w:cs="Arial"/>
          <w:sz w:val="20"/>
          <w:szCs w:val="20"/>
        </w:rPr>
        <w:t xml:space="preserve">To date, the Company has focused on the Pacific Region, </w:t>
      </w:r>
      <w:proofErr w:type="gramStart"/>
      <w:r w:rsidRPr="001728ED">
        <w:rPr>
          <w:rFonts w:ascii="Arial" w:hAnsi="Arial" w:cs="Arial"/>
          <w:sz w:val="20"/>
          <w:szCs w:val="20"/>
        </w:rPr>
        <w:t>Ontario</w:t>
      </w:r>
      <w:proofErr w:type="gramEnd"/>
      <w:r w:rsidRPr="001728ED">
        <w:rPr>
          <w:rFonts w:ascii="Arial" w:hAnsi="Arial" w:cs="Arial"/>
          <w:sz w:val="20"/>
          <w:szCs w:val="20"/>
        </w:rPr>
        <w:t xml:space="preserve"> and the Canadian Prairies. These regions have the most buoyant residential construction markets and the largest number of truss plants. However, the Company </w:t>
      </w:r>
      <w:r w:rsidRPr="00E47B49">
        <w:rPr>
          <w:rFonts w:ascii="Arial" w:hAnsi="Arial" w:cs="Arial"/>
          <w:sz w:val="20"/>
          <w:szCs w:val="20"/>
        </w:rPr>
        <w:t xml:space="preserve">intends to remain opportunistic should other strategically valuable options present </w:t>
      </w:r>
      <w:r w:rsidRPr="00E47B49">
        <w:rPr>
          <w:rFonts w:ascii="Arial" w:hAnsi="Arial" w:cs="Arial"/>
          <w:sz w:val="20"/>
          <w:szCs w:val="20"/>
        </w:rPr>
        <w:lastRenderedPageBreak/>
        <w:t xml:space="preserve">themselves.  </w:t>
      </w:r>
      <w:bookmarkStart w:id="9" w:name="_Hlk6143089"/>
    </w:p>
    <w:p w14:paraId="508DE397" w14:textId="77777777" w:rsidR="00271B27" w:rsidRPr="007D5A23" w:rsidRDefault="00271B27" w:rsidP="007D5A23">
      <w:pPr>
        <w:spacing w:line="218" w:lineRule="auto"/>
        <w:jc w:val="both"/>
        <w:rPr>
          <w:rFonts w:ascii="Arial" w:hAnsi="Arial" w:cs="Arial"/>
          <w:sz w:val="20"/>
          <w:szCs w:val="20"/>
          <w:lang w:val="en-CA"/>
        </w:rPr>
      </w:pPr>
    </w:p>
    <w:p w14:paraId="1FF517E9" w14:textId="2FA2361D" w:rsidR="00B05D92" w:rsidRPr="003B44F6" w:rsidRDefault="00B05D92" w:rsidP="00A415A3">
      <w:pPr>
        <w:pStyle w:val="Heading5"/>
        <w:ind w:left="0"/>
        <w:jc w:val="both"/>
        <w:rPr>
          <w:rFonts w:ascii="Arial" w:hAnsi="Arial" w:cs="Arial"/>
          <w:sz w:val="20"/>
          <w:szCs w:val="20"/>
        </w:rPr>
      </w:pPr>
      <w:r w:rsidRPr="003B44F6">
        <w:rPr>
          <w:rFonts w:ascii="Arial" w:hAnsi="Arial" w:cs="Arial"/>
          <w:noProof/>
          <w:sz w:val="20"/>
          <w:szCs w:val="20"/>
        </w:rPr>
        <mc:AlternateContent>
          <mc:Choice Requires="wps">
            <w:drawing>
              <wp:anchor distT="0" distB="0" distL="114300" distR="114300" simplePos="0" relativeHeight="251654144" behindDoc="0" locked="0" layoutInCell="1" allowOverlap="1" wp14:anchorId="72543FE7" wp14:editId="25247057">
                <wp:simplePos x="0" y="0"/>
                <wp:positionH relativeFrom="page">
                  <wp:posOffset>823595</wp:posOffset>
                </wp:positionH>
                <wp:positionV relativeFrom="paragraph">
                  <wp:posOffset>201930</wp:posOffset>
                </wp:positionV>
                <wp:extent cx="6219825" cy="0"/>
                <wp:effectExtent l="13970" t="13970" r="5080" b="5080"/>
                <wp:wrapNone/>
                <wp:docPr id="3"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F4D41" id="Line 53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85pt,15.9pt" to="554.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" strokeweight=".48pt">
                <w10:wrap anchorx="page"/>
              </v:line>
            </w:pict>
          </mc:Fallback>
        </mc:AlternateContent>
      </w:r>
      <w:r w:rsidRPr="003B44F6">
        <w:rPr>
          <w:rFonts w:ascii="Arial" w:hAnsi="Arial" w:cs="Arial"/>
          <w:noProof/>
          <w:sz w:val="20"/>
          <w:szCs w:val="20"/>
        </w:rPr>
        <w:t>OUTLOOK</w:t>
      </w:r>
    </w:p>
    <w:p w14:paraId="18A30A95" w14:textId="77777777" w:rsidR="00B05D92" w:rsidRPr="003B44F6" w:rsidRDefault="00B05D92" w:rsidP="00B05D92">
      <w:pPr>
        <w:pStyle w:val="BodyText"/>
        <w:ind w:left="367"/>
        <w:rPr>
          <w:rFonts w:ascii="Arial" w:hAnsi="Arial" w:cs="Arial"/>
          <w:w w:val="95"/>
          <w:sz w:val="20"/>
          <w:szCs w:val="20"/>
        </w:rPr>
      </w:pPr>
    </w:p>
    <w:bookmarkEnd w:id="9"/>
    <w:p w14:paraId="23B6493D" w14:textId="4F1A0C56" w:rsidR="00062D35" w:rsidRPr="00BB3891" w:rsidRDefault="00CE723C" w:rsidP="00062D35">
      <w:pPr>
        <w:spacing w:line="218" w:lineRule="auto"/>
        <w:jc w:val="both"/>
        <w:rPr>
          <w:rFonts w:ascii="Arial" w:hAnsi="Arial" w:cs="Arial"/>
          <w:sz w:val="20"/>
          <w:szCs w:val="20"/>
        </w:rPr>
      </w:pPr>
      <w:r w:rsidRPr="00BB3891">
        <w:rPr>
          <w:rFonts w:ascii="Arial" w:hAnsi="Arial" w:cs="Arial"/>
          <w:sz w:val="20"/>
          <w:szCs w:val="20"/>
        </w:rPr>
        <w:t>The Company</w:t>
      </w:r>
      <w:r w:rsidR="000F0DA7" w:rsidRPr="00BB3891">
        <w:rPr>
          <w:rFonts w:ascii="Arial" w:hAnsi="Arial" w:cs="Arial"/>
          <w:sz w:val="20"/>
          <w:szCs w:val="20"/>
        </w:rPr>
        <w:t>’s objective for 202</w:t>
      </w:r>
      <w:r w:rsidR="0095663C" w:rsidRPr="00BB3891">
        <w:rPr>
          <w:rFonts w:ascii="Arial" w:hAnsi="Arial" w:cs="Arial"/>
          <w:sz w:val="20"/>
          <w:szCs w:val="20"/>
        </w:rPr>
        <w:t>2</w:t>
      </w:r>
      <w:r w:rsidR="000F0DA7" w:rsidRPr="00BB3891">
        <w:rPr>
          <w:rFonts w:ascii="Arial" w:hAnsi="Arial" w:cs="Arial"/>
          <w:sz w:val="20"/>
          <w:szCs w:val="20"/>
        </w:rPr>
        <w:t xml:space="preserve"> </w:t>
      </w:r>
      <w:r w:rsidR="00C126FE" w:rsidRPr="00BB3891">
        <w:rPr>
          <w:rFonts w:ascii="Arial" w:hAnsi="Arial" w:cs="Arial"/>
          <w:sz w:val="20"/>
          <w:szCs w:val="20"/>
        </w:rPr>
        <w:t xml:space="preserve">is to continue focusing on improved operations, equipment utilization, and technological </w:t>
      </w:r>
      <w:r w:rsidR="004110BC" w:rsidRPr="00BB3891">
        <w:rPr>
          <w:rFonts w:ascii="Arial" w:hAnsi="Arial" w:cs="Arial"/>
          <w:sz w:val="20"/>
          <w:szCs w:val="20"/>
        </w:rPr>
        <w:t>advancements</w:t>
      </w:r>
      <w:r w:rsidR="00C126FE" w:rsidRPr="00BB3891">
        <w:rPr>
          <w:rFonts w:ascii="Arial" w:hAnsi="Arial" w:cs="Arial"/>
          <w:sz w:val="20"/>
          <w:szCs w:val="20"/>
        </w:rPr>
        <w:t xml:space="preserve"> to benefit and enhance the Company’s performance. </w:t>
      </w:r>
      <w:r w:rsidR="00062D35" w:rsidRPr="00BB3891">
        <w:rPr>
          <w:rFonts w:ascii="Arial" w:hAnsi="Arial" w:cs="Arial"/>
          <w:sz w:val="20"/>
          <w:szCs w:val="20"/>
        </w:rPr>
        <w:t xml:space="preserve">The Company has </w:t>
      </w:r>
      <w:r w:rsidR="0095663C" w:rsidRPr="00BB3891">
        <w:rPr>
          <w:rFonts w:ascii="Arial" w:hAnsi="Arial" w:cs="Arial"/>
          <w:sz w:val="20"/>
          <w:szCs w:val="20"/>
        </w:rPr>
        <w:t>continued to see and experience a strong construction industry in</w:t>
      </w:r>
      <w:r w:rsidR="00062D35" w:rsidRPr="00BB3891">
        <w:rPr>
          <w:rFonts w:ascii="Arial" w:hAnsi="Arial" w:cs="Arial"/>
          <w:sz w:val="20"/>
          <w:szCs w:val="20"/>
        </w:rPr>
        <w:t xml:space="preserve"> 202</w:t>
      </w:r>
      <w:r w:rsidR="0095663C" w:rsidRPr="00BB3891">
        <w:rPr>
          <w:rFonts w:ascii="Arial" w:hAnsi="Arial" w:cs="Arial"/>
          <w:sz w:val="20"/>
          <w:szCs w:val="20"/>
        </w:rPr>
        <w:t>2</w:t>
      </w:r>
      <w:r w:rsidR="00062D35" w:rsidRPr="00BB3891">
        <w:rPr>
          <w:rFonts w:ascii="Arial" w:hAnsi="Arial" w:cs="Arial"/>
          <w:sz w:val="20"/>
          <w:szCs w:val="20"/>
        </w:rPr>
        <w:t>.</w:t>
      </w:r>
      <w:r w:rsidR="00493327" w:rsidRPr="00BB3891">
        <w:rPr>
          <w:rFonts w:ascii="Arial" w:hAnsi="Arial" w:cs="Arial"/>
          <w:sz w:val="20"/>
          <w:szCs w:val="20"/>
        </w:rPr>
        <w:t xml:space="preserve"> </w:t>
      </w:r>
    </w:p>
    <w:p w14:paraId="2E1CED1C" w14:textId="77777777" w:rsidR="00062D35" w:rsidRPr="00BB3891" w:rsidRDefault="00062D35" w:rsidP="00C126FE">
      <w:pPr>
        <w:spacing w:line="218" w:lineRule="auto"/>
        <w:jc w:val="both"/>
        <w:rPr>
          <w:rFonts w:ascii="Arial" w:hAnsi="Arial" w:cs="Arial"/>
          <w:sz w:val="20"/>
          <w:szCs w:val="20"/>
        </w:rPr>
      </w:pPr>
    </w:p>
    <w:p w14:paraId="4D19A267" w14:textId="1561417D" w:rsidR="00B04E62" w:rsidRPr="00BB3891" w:rsidRDefault="009E01E6" w:rsidP="00C126FE">
      <w:pPr>
        <w:spacing w:line="218" w:lineRule="auto"/>
        <w:jc w:val="both"/>
        <w:rPr>
          <w:rFonts w:ascii="Arial" w:hAnsi="Arial" w:cs="Arial"/>
          <w:sz w:val="20"/>
          <w:szCs w:val="20"/>
        </w:rPr>
      </w:pPr>
      <w:r w:rsidRPr="00BB3891">
        <w:rPr>
          <w:rFonts w:ascii="Arial" w:hAnsi="Arial" w:cs="Arial"/>
          <w:sz w:val="20"/>
          <w:szCs w:val="20"/>
        </w:rPr>
        <w:t xml:space="preserve">On a pro-forma basis, taking seasonality into account, management believes </w:t>
      </w:r>
      <w:r w:rsidR="00B04E62" w:rsidRPr="00BB3891">
        <w:rPr>
          <w:rFonts w:ascii="Arial" w:hAnsi="Arial" w:cs="Arial"/>
          <w:sz w:val="20"/>
          <w:szCs w:val="20"/>
        </w:rPr>
        <w:t>focused marketing activities</w:t>
      </w:r>
      <w:r w:rsidRPr="00BB3891">
        <w:rPr>
          <w:rFonts w:ascii="Arial" w:hAnsi="Arial" w:cs="Arial"/>
          <w:sz w:val="20"/>
          <w:szCs w:val="20"/>
        </w:rPr>
        <w:t xml:space="preserve">, the </w:t>
      </w:r>
      <w:r w:rsidR="00BB3891" w:rsidRPr="00BB3891">
        <w:rPr>
          <w:rFonts w:ascii="Arial" w:hAnsi="Arial" w:cs="Arial"/>
          <w:sz w:val="20"/>
          <w:szCs w:val="20"/>
        </w:rPr>
        <w:t>continued expansion</w:t>
      </w:r>
      <w:r w:rsidRPr="00BB3891">
        <w:rPr>
          <w:rFonts w:ascii="Arial" w:hAnsi="Arial" w:cs="Arial"/>
          <w:sz w:val="20"/>
          <w:szCs w:val="20"/>
        </w:rPr>
        <w:t xml:space="preserve"> of new product lines</w:t>
      </w:r>
      <w:r w:rsidR="003B44F6" w:rsidRPr="00BB3891">
        <w:rPr>
          <w:rFonts w:ascii="Arial" w:hAnsi="Arial" w:cs="Arial"/>
          <w:sz w:val="20"/>
          <w:szCs w:val="20"/>
        </w:rPr>
        <w:t>,</w:t>
      </w:r>
      <w:r w:rsidRPr="00BB3891">
        <w:rPr>
          <w:rFonts w:ascii="Arial" w:hAnsi="Arial" w:cs="Arial"/>
          <w:sz w:val="20"/>
          <w:szCs w:val="20"/>
        </w:rPr>
        <w:t xml:space="preserve"> </w:t>
      </w:r>
      <w:r w:rsidR="003B44F6" w:rsidRPr="00BB3891">
        <w:rPr>
          <w:rFonts w:ascii="Arial" w:hAnsi="Arial" w:cs="Arial"/>
          <w:sz w:val="20"/>
          <w:szCs w:val="20"/>
        </w:rPr>
        <w:t xml:space="preserve">leveling of </w:t>
      </w:r>
      <w:r w:rsidR="006A673B" w:rsidRPr="00BB3891">
        <w:rPr>
          <w:rFonts w:ascii="Arial" w:hAnsi="Arial" w:cs="Arial"/>
          <w:sz w:val="20"/>
          <w:szCs w:val="20"/>
        </w:rPr>
        <w:t>raw material costs</w:t>
      </w:r>
      <w:r w:rsidRPr="00BB3891">
        <w:rPr>
          <w:rFonts w:ascii="Arial" w:hAnsi="Arial" w:cs="Arial"/>
          <w:sz w:val="20"/>
          <w:szCs w:val="20"/>
        </w:rPr>
        <w:t>, and</w:t>
      </w:r>
      <w:r w:rsidR="00BB3891" w:rsidRPr="00BB3891">
        <w:rPr>
          <w:rFonts w:ascii="Arial" w:hAnsi="Arial" w:cs="Arial"/>
          <w:sz w:val="20"/>
          <w:szCs w:val="20"/>
        </w:rPr>
        <w:t xml:space="preserve"> continued</w:t>
      </w:r>
      <w:r w:rsidRPr="00BB3891">
        <w:rPr>
          <w:rFonts w:ascii="Arial" w:hAnsi="Arial" w:cs="Arial"/>
          <w:sz w:val="20"/>
          <w:szCs w:val="20"/>
        </w:rPr>
        <w:t xml:space="preserve"> focus on improv</w:t>
      </w:r>
      <w:r w:rsidR="00CE723C" w:rsidRPr="00BB3891">
        <w:rPr>
          <w:rFonts w:ascii="Arial" w:hAnsi="Arial" w:cs="Arial"/>
          <w:sz w:val="20"/>
          <w:szCs w:val="20"/>
        </w:rPr>
        <w:t>ing</w:t>
      </w:r>
      <w:r w:rsidRPr="00BB3891">
        <w:rPr>
          <w:rFonts w:ascii="Arial" w:hAnsi="Arial" w:cs="Arial"/>
          <w:sz w:val="20"/>
          <w:szCs w:val="20"/>
        </w:rPr>
        <w:t xml:space="preserve"> costs, should enable th</w:t>
      </w:r>
      <w:r w:rsidR="00CE723C" w:rsidRPr="00BB3891">
        <w:rPr>
          <w:rFonts w:ascii="Arial" w:hAnsi="Arial" w:cs="Arial"/>
          <w:sz w:val="20"/>
          <w:szCs w:val="20"/>
        </w:rPr>
        <w:t>e</w:t>
      </w:r>
      <w:r w:rsidRPr="00BB3891">
        <w:rPr>
          <w:rFonts w:ascii="Arial" w:hAnsi="Arial" w:cs="Arial"/>
          <w:sz w:val="20"/>
          <w:szCs w:val="20"/>
        </w:rPr>
        <w:t>se targets to be achievable, but</w:t>
      </w:r>
      <w:r w:rsidR="00CE723C" w:rsidRPr="00BB3891">
        <w:rPr>
          <w:rFonts w:ascii="Arial" w:hAnsi="Arial" w:cs="Arial"/>
          <w:sz w:val="20"/>
          <w:szCs w:val="20"/>
        </w:rPr>
        <w:t xml:space="preserve"> that</w:t>
      </w:r>
      <w:r w:rsidRPr="00BB3891">
        <w:rPr>
          <w:rFonts w:ascii="Arial" w:hAnsi="Arial" w:cs="Arial"/>
          <w:sz w:val="20"/>
          <w:szCs w:val="20"/>
        </w:rPr>
        <w:t xml:space="preserve"> will depend on the ongoing </w:t>
      </w:r>
      <w:r w:rsidR="00AF22F7" w:rsidRPr="00BB3891">
        <w:rPr>
          <w:rFonts w:ascii="Arial" w:hAnsi="Arial" w:cs="Arial"/>
          <w:sz w:val="20"/>
          <w:szCs w:val="20"/>
        </w:rPr>
        <w:t xml:space="preserve">significant fluctuations </w:t>
      </w:r>
      <w:r w:rsidR="00BA5B81" w:rsidRPr="00BB3891">
        <w:rPr>
          <w:rFonts w:ascii="Arial" w:hAnsi="Arial" w:cs="Arial"/>
          <w:sz w:val="20"/>
          <w:szCs w:val="20"/>
        </w:rPr>
        <w:t xml:space="preserve">in </w:t>
      </w:r>
      <w:r w:rsidR="00AF22F7" w:rsidRPr="00BB3891">
        <w:rPr>
          <w:rFonts w:ascii="Arial" w:hAnsi="Arial" w:cs="Arial"/>
          <w:sz w:val="20"/>
          <w:szCs w:val="20"/>
        </w:rPr>
        <w:t>lumber pricing, material shortages, and any lasting impacts of the COVID-19 pandemic</w:t>
      </w:r>
      <w:r w:rsidRPr="00BB3891">
        <w:rPr>
          <w:rFonts w:ascii="Arial" w:hAnsi="Arial" w:cs="Arial"/>
          <w:sz w:val="20"/>
          <w:szCs w:val="20"/>
        </w:rPr>
        <w:t xml:space="preserve">. </w:t>
      </w:r>
    </w:p>
    <w:p w14:paraId="7D64ECAA" w14:textId="23D83CDB" w:rsidR="00C126FE" w:rsidRPr="00BB3891" w:rsidRDefault="00C126FE" w:rsidP="003B44F6">
      <w:pPr>
        <w:jc w:val="both"/>
        <w:rPr>
          <w:rFonts w:ascii="Arial" w:hAnsi="Arial" w:cs="Arial"/>
          <w:sz w:val="20"/>
          <w:szCs w:val="20"/>
        </w:rPr>
      </w:pPr>
    </w:p>
    <w:p w14:paraId="39A36437" w14:textId="678A66F8" w:rsidR="00C126FE" w:rsidRPr="00E767E5" w:rsidRDefault="00C126FE" w:rsidP="003B44F6">
      <w:pPr>
        <w:jc w:val="both"/>
        <w:rPr>
          <w:rFonts w:ascii="Arial" w:hAnsi="Arial" w:cs="Arial"/>
          <w:sz w:val="20"/>
          <w:szCs w:val="20"/>
        </w:rPr>
      </w:pPr>
      <w:r w:rsidRPr="00BB3891">
        <w:rPr>
          <w:rFonts w:ascii="Arial" w:hAnsi="Arial" w:cs="Arial"/>
          <w:sz w:val="20"/>
          <w:szCs w:val="20"/>
        </w:rPr>
        <w:t xml:space="preserve">The Company continues to </w:t>
      </w:r>
      <w:r w:rsidRPr="00E767E5">
        <w:rPr>
          <w:rFonts w:ascii="Arial" w:hAnsi="Arial" w:cs="Arial"/>
          <w:sz w:val="20"/>
          <w:szCs w:val="20"/>
        </w:rPr>
        <w:t>assess M&amp;A</w:t>
      </w:r>
      <w:r w:rsidR="00415C7C" w:rsidRPr="00E767E5">
        <w:rPr>
          <w:rFonts w:ascii="Arial" w:hAnsi="Arial" w:cs="Arial"/>
          <w:sz w:val="20"/>
          <w:szCs w:val="20"/>
        </w:rPr>
        <w:t xml:space="preserve"> </w:t>
      </w:r>
      <w:r w:rsidRPr="00E767E5">
        <w:rPr>
          <w:rFonts w:ascii="Arial" w:hAnsi="Arial" w:cs="Arial"/>
          <w:sz w:val="20"/>
          <w:szCs w:val="20"/>
        </w:rPr>
        <w:t xml:space="preserve">opportunities that fit with the Company’s goals and strategies. This has been bolstered </w:t>
      </w:r>
      <w:r w:rsidR="00FA72E4">
        <w:rPr>
          <w:rFonts w:ascii="Arial" w:hAnsi="Arial" w:cs="Arial"/>
          <w:sz w:val="20"/>
          <w:szCs w:val="20"/>
        </w:rPr>
        <w:t xml:space="preserve">by the Company’s internal cash generation from 2021 and its </w:t>
      </w:r>
      <w:r w:rsidRPr="00E767E5">
        <w:rPr>
          <w:rFonts w:ascii="Arial" w:hAnsi="Arial" w:cs="Arial"/>
          <w:sz w:val="20"/>
          <w:szCs w:val="20"/>
        </w:rPr>
        <w:t xml:space="preserve">financing and credit partnership with TD Canada Trust giving the Company access to more funding for acquisitive growth. </w:t>
      </w:r>
      <w:r w:rsidR="00BB3891" w:rsidRPr="00E767E5">
        <w:rPr>
          <w:rFonts w:ascii="Arial" w:hAnsi="Arial" w:cs="Arial"/>
          <w:sz w:val="20"/>
          <w:szCs w:val="20"/>
        </w:rPr>
        <w:t xml:space="preserve">The Company has started 2022 with a new acquisition and will be working on integrating that location throughout fiscal 2022. </w:t>
      </w:r>
    </w:p>
    <w:p w14:paraId="09FD6F09" w14:textId="77777777" w:rsidR="009E01E6" w:rsidRPr="00E767E5" w:rsidRDefault="009E01E6" w:rsidP="009E01E6">
      <w:pPr>
        <w:spacing w:line="218" w:lineRule="auto"/>
        <w:jc w:val="both"/>
        <w:rPr>
          <w:rFonts w:ascii="Arial" w:hAnsi="Arial" w:cs="Arial"/>
          <w:sz w:val="20"/>
          <w:szCs w:val="20"/>
        </w:rPr>
      </w:pPr>
    </w:p>
    <w:p w14:paraId="5A9959C0" w14:textId="77777777" w:rsidR="009E01E6" w:rsidRPr="00E767E5" w:rsidRDefault="009E01E6" w:rsidP="009E01E6">
      <w:pPr>
        <w:pStyle w:val="Heading5"/>
        <w:spacing w:before="60"/>
        <w:ind w:left="0"/>
        <w:jc w:val="both"/>
        <w:rPr>
          <w:rFonts w:ascii="Arial" w:hAnsi="Arial" w:cs="Arial"/>
          <w:sz w:val="20"/>
          <w:szCs w:val="20"/>
        </w:rPr>
      </w:pPr>
      <w:r w:rsidRPr="00E767E5">
        <w:rPr>
          <w:rFonts w:ascii="Arial" w:hAnsi="Arial" w:cs="Arial"/>
          <w:noProof/>
          <w:sz w:val="20"/>
          <w:szCs w:val="20"/>
        </w:rPr>
        <mc:AlternateContent>
          <mc:Choice Requires="wps">
            <w:drawing>
              <wp:anchor distT="0" distB="0" distL="114300" distR="114300" simplePos="0" relativeHeight="251663360" behindDoc="0" locked="0" layoutInCell="1" allowOverlap="1" wp14:anchorId="7A2E051C" wp14:editId="5286F450">
                <wp:simplePos x="0" y="0"/>
                <wp:positionH relativeFrom="page">
                  <wp:posOffset>823595</wp:posOffset>
                </wp:positionH>
                <wp:positionV relativeFrom="paragraph">
                  <wp:posOffset>201930</wp:posOffset>
                </wp:positionV>
                <wp:extent cx="6219825" cy="0"/>
                <wp:effectExtent l="13970" t="13970" r="5080" b="5080"/>
                <wp:wrapNone/>
                <wp:docPr id="11"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4A983" id="Line 538"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85pt,15.9pt" to="554.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" strokeweight=".48pt">
                <w10:wrap anchorx="page"/>
              </v:line>
            </w:pict>
          </mc:Fallback>
        </mc:AlternateContent>
      </w:r>
      <w:r w:rsidRPr="00E767E5">
        <w:rPr>
          <w:rFonts w:ascii="Arial" w:hAnsi="Arial" w:cs="Arial"/>
          <w:noProof/>
          <w:sz w:val="20"/>
          <w:szCs w:val="20"/>
        </w:rPr>
        <w:t>FINANCIAL HIGHLIGHTS</w:t>
      </w:r>
    </w:p>
    <w:p w14:paraId="4814FE68" w14:textId="77777777" w:rsidR="009E01E6" w:rsidRPr="00E767E5" w:rsidRDefault="009E01E6" w:rsidP="009E01E6">
      <w:pPr>
        <w:spacing w:line="218" w:lineRule="auto"/>
        <w:jc w:val="both"/>
        <w:rPr>
          <w:rFonts w:ascii="Arial" w:hAnsi="Arial" w:cs="Arial"/>
          <w:sz w:val="20"/>
          <w:szCs w:val="20"/>
        </w:rPr>
      </w:pPr>
    </w:p>
    <w:p w14:paraId="6870A595" w14:textId="77777777" w:rsidR="009E01E6" w:rsidRPr="00E767E5" w:rsidRDefault="009E01E6" w:rsidP="009E01E6">
      <w:pPr>
        <w:keepNext/>
        <w:rPr>
          <w:rFonts w:ascii="Arial" w:hAnsi="Arial" w:cs="Arial"/>
          <w:b/>
          <w:sz w:val="20"/>
          <w:szCs w:val="20"/>
        </w:rPr>
        <w:sectPr w:rsidR="009E01E6" w:rsidRPr="00E767E5" w:rsidSect="00013674">
          <w:headerReference w:type="even" r:id="rId21"/>
          <w:headerReference w:type="default" r:id="rId22"/>
          <w:headerReference w:type="first" r:id="rId23"/>
          <w:type w:val="continuous"/>
          <w:pgSz w:w="12240" w:h="15840"/>
          <w:pgMar w:top="1440" w:right="1440" w:bottom="1440" w:left="1440" w:header="907" w:footer="523" w:gutter="0"/>
          <w:cols w:space="720"/>
          <w:docGrid w:linePitch="299"/>
        </w:sectPr>
      </w:pPr>
    </w:p>
    <w:p w14:paraId="3D61D2D6" w14:textId="78489D61" w:rsidR="00493327" w:rsidRPr="00E767E5" w:rsidRDefault="00493327" w:rsidP="00493327">
      <w:pPr>
        <w:keepNext/>
        <w:jc w:val="both"/>
        <w:rPr>
          <w:rFonts w:ascii="Arial" w:hAnsi="Arial" w:cs="Arial"/>
          <w:sz w:val="20"/>
          <w:szCs w:val="20"/>
        </w:rPr>
      </w:pPr>
      <w:r w:rsidRPr="00E767E5">
        <w:rPr>
          <w:rFonts w:ascii="Arial" w:hAnsi="Arial" w:cs="Arial"/>
          <w:sz w:val="20"/>
          <w:szCs w:val="20"/>
        </w:rPr>
        <w:t xml:space="preserve">The Company’s results for the </w:t>
      </w:r>
      <w:r w:rsidR="00E767E5" w:rsidRPr="00E767E5">
        <w:rPr>
          <w:rFonts w:ascii="Arial" w:hAnsi="Arial" w:cs="Arial"/>
          <w:sz w:val="20"/>
          <w:szCs w:val="20"/>
        </w:rPr>
        <w:t xml:space="preserve">year </w:t>
      </w:r>
      <w:r w:rsidRPr="00E767E5">
        <w:rPr>
          <w:rFonts w:ascii="Arial" w:hAnsi="Arial" w:cs="Arial"/>
          <w:sz w:val="20"/>
          <w:szCs w:val="20"/>
        </w:rPr>
        <w:t xml:space="preserve">ended </w:t>
      </w:r>
      <w:r w:rsidR="00E767E5" w:rsidRPr="00E767E5">
        <w:rPr>
          <w:rFonts w:ascii="Arial" w:hAnsi="Arial" w:cs="Arial"/>
          <w:sz w:val="20"/>
          <w:szCs w:val="20"/>
        </w:rPr>
        <w:t>December 31</w:t>
      </w:r>
      <w:r w:rsidRPr="00E767E5">
        <w:rPr>
          <w:rFonts w:ascii="Arial" w:hAnsi="Arial" w:cs="Arial"/>
          <w:sz w:val="20"/>
          <w:szCs w:val="20"/>
        </w:rPr>
        <w:t xml:space="preserve">, </w:t>
      </w:r>
      <w:proofErr w:type="gramStart"/>
      <w:r w:rsidRPr="00E767E5">
        <w:rPr>
          <w:rFonts w:ascii="Arial" w:hAnsi="Arial" w:cs="Arial"/>
          <w:sz w:val="20"/>
          <w:szCs w:val="20"/>
        </w:rPr>
        <w:t>2021</w:t>
      </w:r>
      <w:proofErr w:type="gramEnd"/>
      <w:r w:rsidRPr="00E767E5">
        <w:rPr>
          <w:rFonts w:ascii="Arial" w:hAnsi="Arial" w:cs="Arial"/>
          <w:sz w:val="20"/>
          <w:szCs w:val="20"/>
        </w:rPr>
        <w:t xml:space="preserve"> include full period results from all locations</w:t>
      </w:r>
      <w:r w:rsidR="004961C5">
        <w:rPr>
          <w:rFonts w:ascii="Arial" w:hAnsi="Arial" w:cs="Arial"/>
          <w:sz w:val="20"/>
          <w:szCs w:val="20"/>
        </w:rPr>
        <w:t xml:space="preserve"> other than Hi-Tec, which was acquired after the Company’s </w:t>
      </w:r>
      <w:proofErr w:type="spellStart"/>
      <w:r w:rsidR="004961C5">
        <w:rPr>
          <w:rFonts w:ascii="Arial" w:hAnsi="Arial" w:cs="Arial"/>
          <w:sz w:val="20"/>
          <w:szCs w:val="20"/>
        </w:rPr>
        <w:t>year end</w:t>
      </w:r>
      <w:proofErr w:type="spellEnd"/>
      <w:r w:rsidRPr="00E767E5">
        <w:rPr>
          <w:rFonts w:ascii="Arial" w:hAnsi="Arial" w:cs="Arial"/>
          <w:sz w:val="20"/>
          <w:szCs w:val="20"/>
        </w:rPr>
        <w:t xml:space="preserve">. For the comparative </w:t>
      </w:r>
      <w:r w:rsidR="00E767E5" w:rsidRPr="00E767E5">
        <w:rPr>
          <w:rFonts w:ascii="Arial" w:hAnsi="Arial" w:cs="Arial"/>
          <w:sz w:val="20"/>
          <w:szCs w:val="20"/>
        </w:rPr>
        <w:t>year</w:t>
      </w:r>
      <w:r w:rsidRPr="00E767E5">
        <w:rPr>
          <w:rFonts w:ascii="Arial" w:hAnsi="Arial" w:cs="Arial"/>
          <w:sz w:val="20"/>
          <w:szCs w:val="20"/>
        </w:rPr>
        <w:t xml:space="preserve"> ended </w:t>
      </w:r>
      <w:r w:rsidR="00E767E5" w:rsidRPr="00E767E5">
        <w:rPr>
          <w:rFonts w:ascii="Arial" w:hAnsi="Arial" w:cs="Arial"/>
          <w:sz w:val="20"/>
          <w:szCs w:val="20"/>
        </w:rPr>
        <w:t>December 31</w:t>
      </w:r>
      <w:r w:rsidRPr="00E767E5">
        <w:rPr>
          <w:rFonts w:ascii="Arial" w:hAnsi="Arial" w:cs="Arial"/>
          <w:sz w:val="20"/>
          <w:szCs w:val="20"/>
        </w:rPr>
        <w:t xml:space="preserve">, 2020, the Company’s results do not include a full </w:t>
      </w:r>
      <w:r w:rsidR="00E767E5" w:rsidRPr="00E767E5">
        <w:rPr>
          <w:rFonts w:ascii="Arial" w:hAnsi="Arial" w:cs="Arial"/>
          <w:sz w:val="20"/>
          <w:szCs w:val="20"/>
        </w:rPr>
        <w:t>year’s</w:t>
      </w:r>
      <w:r w:rsidRPr="00E767E5">
        <w:rPr>
          <w:rFonts w:ascii="Arial" w:hAnsi="Arial" w:cs="Arial"/>
          <w:sz w:val="20"/>
          <w:szCs w:val="20"/>
        </w:rPr>
        <w:t xml:space="preserve"> results from Novum in Abbotsford, BC as the acquisition was completed on July 20, 2020</w:t>
      </w:r>
      <w:r w:rsidR="004961C5">
        <w:rPr>
          <w:rFonts w:ascii="Arial" w:hAnsi="Arial" w:cs="Arial"/>
          <w:sz w:val="20"/>
          <w:szCs w:val="20"/>
        </w:rPr>
        <w:t>.</w:t>
      </w:r>
      <w:r w:rsidRPr="00E767E5">
        <w:rPr>
          <w:rFonts w:ascii="Arial" w:hAnsi="Arial" w:cs="Arial"/>
          <w:sz w:val="20"/>
          <w:szCs w:val="20"/>
        </w:rPr>
        <w:t xml:space="preserve"> </w:t>
      </w:r>
      <w:r w:rsidR="004961C5">
        <w:rPr>
          <w:rFonts w:ascii="Arial" w:hAnsi="Arial" w:cs="Arial"/>
          <w:sz w:val="20"/>
          <w:szCs w:val="20"/>
        </w:rPr>
        <w:t>A</w:t>
      </w:r>
      <w:r w:rsidRPr="00E767E5">
        <w:rPr>
          <w:rFonts w:ascii="Arial" w:hAnsi="Arial" w:cs="Arial"/>
          <w:sz w:val="20"/>
          <w:szCs w:val="20"/>
        </w:rPr>
        <w:t>ll other locations</w:t>
      </w:r>
      <w:r w:rsidR="004961C5">
        <w:rPr>
          <w:rFonts w:ascii="Arial" w:hAnsi="Arial" w:cs="Arial"/>
          <w:sz w:val="20"/>
          <w:szCs w:val="20"/>
        </w:rPr>
        <w:t xml:space="preserve"> other than Hi-Tec</w:t>
      </w:r>
      <w:r w:rsidRPr="00E767E5">
        <w:rPr>
          <w:rFonts w:ascii="Arial" w:hAnsi="Arial" w:cs="Arial"/>
          <w:sz w:val="20"/>
          <w:szCs w:val="20"/>
        </w:rPr>
        <w:t xml:space="preserve"> are included for the full comparative periods.</w:t>
      </w:r>
    </w:p>
    <w:p w14:paraId="3443A61A" w14:textId="77777777" w:rsidR="00731D6F" w:rsidRPr="00E767E5" w:rsidRDefault="00731D6F" w:rsidP="00731D6F">
      <w:pPr>
        <w:keepNext/>
        <w:jc w:val="both"/>
        <w:rPr>
          <w:rFonts w:ascii="Arial" w:hAnsi="Arial" w:cs="Arial"/>
          <w:b/>
          <w:sz w:val="20"/>
          <w:szCs w:val="20"/>
        </w:rPr>
      </w:pPr>
    </w:p>
    <w:p w14:paraId="3CA64B31" w14:textId="77777777" w:rsidR="009E01E6" w:rsidRPr="00E767E5" w:rsidRDefault="009E01E6" w:rsidP="009E01E6">
      <w:pPr>
        <w:keepNext/>
        <w:rPr>
          <w:rFonts w:ascii="Arial" w:hAnsi="Arial" w:cs="Arial"/>
          <w:b/>
          <w:sz w:val="20"/>
          <w:szCs w:val="20"/>
        </w:rPr>
      </w:pPr>
      <w:bookmarkStart w:id="10" w:name="_Hlk14685644"/>
      <w:r w:rsidRPr="00E767E5">
        <w:rPr>
          <w:rFonts w:ascii="Arial" w:hAnsi="Arial" w:cs="Arial"/>
          <w:b/>
          <w:sz w:val="20"/>
          <w:szCs w:val="20"/>
        </w:rPr>
        <w:t>Summary of Financial Results</w:t>
      </w:r>
    </w:p>
    <w:p w14:paraId="529F719D" w14:textId="77777777" w:rsidR="009E01E6" w:rsidRPr="00E767E5" w:rsidRDefault="009E01E6" w:rsidP="009E01E6">
      <w:pPr>
        <w:keepNext/>
        <w:jc w:val="both"/>
        <w:rPr>
          <w:rFonts w:ascii="Arial" w:hAnsi="Arial" w:cs="Arial"/>
          <w:sz w:val="20"/>
          <w:szCs w:val="20"/>
        </w:rPr>
      </w:pPr>
    </w:p>
    <w:bookmarkEnd w:id="10"/>
    <w:p w14:paraId="123AA7B3" w14:textId="77777777" w:rsidR="00493327" w:rsidRPr="00E767E5" w:rsidRDefault="00493327" w:rsidP="00493327">
      <w:pPr>
        <w:keepNext/>
        <w:jc w:val="both"/>
        <w:rPr>
          <w:rFonts w:ascii="Arial" w:hAnsi="Arial" w:cs="Arial"/>
          <w:sz w:val="20"/>
          <w:szCs w:val="20"/>
        </w:rPr>
      </w:pPr>
      <w:r w:rsidRPr="00E767E5">
        <w:rPr>
          <w:rFonts w:ascii="Arial" w:hAnsi="Arial" w:cs="Arial"/>
          <w:sz w:val="20"/>
          <w:szCs w:val="20"/>
        </w:rPr>
        <w:t>Revenue:</w:t>
      </w:r>
    </w:p>
    <w:p w14:paraId="4E6236CF" w14:textId="77777777" w:rsidR="00E767E5" w:rsidRPr="00712271" w:rsidRDefault="00E767E5" w:rsidP="00E767E5">
      <w:pPr>
        <w:pStyle w:val="ListParagraph"/>
        <w:keepNext/>
        <w:numPr>
          <w:ilvl w:val="0"/>
          <w:numId w:val="38"/>
        </w:numPr>
        <w:adjustRightInd w:val="0"/>
        <w:jc w:val="both"/>
        <w:rPr>
          <w:rFonts w:ascii="Arial" w:hAnsi="Arial" w:cs="Arial"/>
          <w:sz w:val="20"/>
          <w:szCs w:val="20"/>
        </w:rPr>
      </w:pPr>
      <w:r w:rsidRPr="00E767E5">
        <w:rPr>
          <w:rFonts w:ascii="Arial" w:hAnsi="Arial" w:cs="Arial"/>
          <w:bCs/>
          <w:sz w:val="20"/>
          <w:szCs w:val="20"/>
          <w:lang w:eastAsia="zh-TW"/>
        </w:rPr>
        <w:t xml:space="preserve">Revenue for the year ended December 31, </w:t>
      </w:r>
      <w:proofErr w:type="gramStart"/>
      <w:r w:rsidRPr="00E767E5">
        <w:rPr>
          <w:rFonts w:ascii="Arial" w:hAnsi="Arial" w:cs="Arial"/>
          <w:bCs/>
          <w:sz w:val="20"/>
          <w:szCs w:val="20"/>
          <w:lang w:eastAsia="zh-TW"/>
        </w:rPr>
        <w:t>2021</w:t>
      </w:r>
      <w:proofErr w:type="gramEnd"/>
      <w:r w:rsidRPr="00E767E5">
        <w:rPr>
          <w:rFonts w:ascii="Arial" w:hAnsi="Arial" w:cs="Arial"/>
          <w:bCs/>
          <w:sz w:val="20"/>
          <w:szCs w:val="20"/>
          <w:lang w:eastAsia="zh-TW"/>
        </w:rPr>
        <w:t xml:space="preserve"> was $54,997,862 compared to revenue of $35,734,415 for the year ended December 31, 2020. </w:t>
      </w:r>
      <w:r w:rsidRPr="00E767E5">
        <w:rPr>
          <w:rFonts w:ascii="Arial" w:hAnsi="Arial" w:cs="Arial"/>
          <w:sz w:val="20"/>
          <w:szCs w:val="20"/>
        </w:rPr>
        <w:t xml:space="preserve">Revenue has increased due to organic growth through product line expansion in engineered wood products and wall panels and the addition of Novum which was only part of the group since July 20, </w:t>
      </w:r>
      <w:proofErr w:type="gramStart"/>
      <w:r w:rsidRPr="00E767E5">
        <w:rPr>
          <w:rFonts w:ascii="Arial" w:hAnsi="Arial" w:cs="Arial"/>
          <w:sz w:val="20"/>
          <w:szCs w:val="20"/>
        </w:rPr>
        <w:t>2020</w:t>
      </w:r>
      <w:proofErr w:type="gramEnd"/>
      <w:r w:rsidRPr="00E767E5">
        <w:rPr>
          <w:rFonts w:ascii="Arial" w:hAnsi="Arial" w:cs="Arial"/>
          <w:sz w:val="20"/>
          <w:szCs w:val="20"/>
        </w:rPr>
        <w:t xml:space="preserve"> for the comparative period. Additionally, sales pricing during the period was adjusted to reflect sharply rising raw material costs, which has resulted in higher sales values. As the Company passes through the cost of raw materials in its </w:t>
      </w:r>
      <w:r w:rsidRPr="00712271">
        <w:rPr>
          <w:rFonts w:ascii="Arial" w:hAnsi="Arial" w:cs="Arial"/>
          <w:sz w:val="20"/>
          <w:szCs w:val="20"/>
        </w:rPr>
        <w:t>product pricing, overall revenues may fluctuate somewhat with the price of raw materials.</w:t>
      </w:r>
    </w:p>
    <w:p w14:paraId="0E1C6381" w14:textId="77777777" w:rsidR="00493327" w:rsidRPr="00712271" w:rsidRDefault="00493327" w:rsidP="00493327">
      <w:pPr>
        <w:pStyle w:val="ListParagraph"/>
        <w:keepNext/>
        <w:ind w:left="720" w:firstLine="0"/>
        <w:jc w:val="both"/>
        <w:rPr>
          <w:rFonts w:ascii="Arial" w:hAnsi="Arial" w:cs="Arial"/>
          <w:sz w:val="20"/>
          <w:szCs w:val="20"/>
        </w:rPr>
      </w:pPr>
    </w:p>
    <w:p w14:paraId="053A0AFD" w14:textId="14CA7A77" w:rsidR="00712271" w:rsidRPr="001A715C" w:rsidRDefault="004961C5" w:rsidP="00712271">
      <w:pPr>
        <w:pStyle w:val="ListParagraph"/>
        <w:keepNext/>
        <w:numPr>
          <w:ilvl w:val="0"/>
          <w:numId w:val="29"/>
        </w:numPr>
        <w:adjustRightInd w:val="0"/>
        <w:jc w:val="both"/>
        <w:rPr>
          <w:rFonts w:ascii="Arial" w:hAnsi="Arial" w:cs="Arial"/>
          <w:sz w:val="20"/>
          <w:szCs w:val="20"/>
        </w:rPr>
      </w:pPr>
      <w:r>
        <w:rPr>
          <w:rFonts w:ascii="Arial" w:hAnsi="Arial" w:cs="Arial"/>
          <w:sz w:val="20"/>
          <w:szCs w:val="20"/>
        </w:rPr>
        <w:t>R</w:t>
      </w:r>
      <w:r w:rsidR="00E767E5" w:rsidRPr="00712271">
        <w:rPr>
          <w:rFonts w:ascii="Arial" w:hAnsi="Arial" w:cs="Arial"/>
          <w:sz w:val="20"/>
          <w:szCs w:val="20"/>
        </w:rPr>
        <w:t xml:space="preserve">evenues for the three months ended December 31, </w:t>
      </w:r>
      <w:proofErr w:type="gramStart"/>
      <w:r w:rsidR="00E767E5" w:rsidRPr="00712271">
        <w:rPr>
          <w:rFonts w:ascii="Arial" w:hAnsi="Arial" w:cs="Arial"/>
          <w:sz w:val="20"/>
          <w:szCs w:val="20"/>
        </w:rPr>
        <w:t>2021</w:t>
      </w:r>
      <w:proofErr w:type="gramEnd"/>
      <w:r w:rsidR="00E767E5" w:rsidRPr="00712271">
        <w:rPr>
          <w:rFonts w:ascii="Arial" w:hAnsi="Arial" w:cs="Arial"/>
          <w:sz w:val="20"/>
          <w:szCs w:val="20"/>
        </w:rPr>
        <w:t xml:space="preserve"> was $13,896,440 compared to revenue of $11,057,939 for the three months ended December 31, 202</w:t>
      </w:r>
      <w:r w:rsidR="00C46D8F" w:rsidRPr="00712271">
        <w:rPr>
          <w:rFonts w:ascii="Arial" w:hAnsi="Arial" w:cs="Arial"/>
          <w:sz w:val="20"/>
          <w:szCs w:val="20"/>
        </w:rPr>
        <w:t xml:space="preserve">0, representing a 26% increase. </w:t>
      </w:r>
      <w:r w:rsidR="00E767E5" w:rsidRPr="00712271">
        <w:rPr>
          <w:rFonts w:ascii="Arial" w:hAnsi="Arial" w:cs="Arial"/>
          <w:sz w:val="20"/>
          <w:szCs w:val="20"/>
        </w:rPr>
        <w:t xml:space="preserve">Revenue has increased due to organic growth through product line expansion in engineered wood products during the quarter. Additionally, during the period sales pricing was adjusted to reflect higher raw material costs compared to the prior period, which has resulted in higher sales values. As the Company passes through the cost of raw materials in its product pricing, overall revenues </w:t>
      </w:r>
      <w:r w:rsidR="00E767E5" w:rsidRPr="00712271">
        <w:rPr>
          <w:rFonts w:ascii="Arial" w:hAnsi="Arial" w:cs="Arial"/>
          <w:sz w:val="20"/>
          <w:szCs w:val="20"/>
        </w:rPr>
        <w:lastRenderedPageBreak/>
        <w:t>may fluctuate somewhat with the price of raw materials.</w:t>
      </w:r>
      <w:r w:rsidR="00C46D8F" w:rsidRPr="00712271">
        <w:rPr>
          <w:rFonts w:ascii="Arial" w:hAnsi="Arial" w:cs="Arial"/>
          <w:sz w:val="20"/>
          <w:szCs w:val="20"/>
        </w:rPr>
        <w:t xml:space="preserve"> </w:t>
      </w:r>
    </w:p>
    <w:p w14:paraId="7EF94DF9" w14:textId="77777777" w:rsidR="00493327" w:rsidRPr="001A715C" w:rsidRDefault="00493327" w:rsidP="00493327">
      <w:pPr>
        <w:pStyle w:val="ListParagraph"/>
        <w:keepNext/>
        <w:ind w:left="720" w:firstLine="0"/>
        <w:jc w:val="both"/>
        <w:rPr>
          <w:rFonts w:ascii="Arial" w:hAnsi="Arial" w:cs="Arial"/>
          <w:sz w:val="20"/>
          <w:szCs w:val="20"/>
        </w:rPr>
      </w:pPr>
    </w:p>
    <w:p w14:paraId="3D314384" w14:textId="0F611B5D" w:rsidR="00493327" w:rsidRPr="001A715C" w:rsidRDefault="00493327" w:rsidP="00493327">
      <w:pPr>
        <w:keepNext/>
        <w:jc w:val="both"/>
        <w:rPr>
          <w:rFonts w:ascii="Arial" w:hAnsi="Arial" w:cs="Arial"/>
          <w:sz w:val="20"/>
          <w:szCs w:val="20"/>
        </w:rPr>
      </w:pPr>
      <w:r w:rsidRPr="001A715C">
        <w:rPr>
          <w:rFonts w:ascii="Arial" w:hAnsi="Arial" w:cs="Arial"/>
          <w:sz w:val="20"/>
          <w:szCs w:val="20"/>
        </w:rPr>
        <w:t>EBITDA, Adjusted EBITDA &amp; Normalized EBITDA Margin</w:t>
      </w:r>
      <w:r w:rsidR="004961C5">
        <w:rPr>
          <w:rStyle w:val="FootnoteReference"/>
          <w:rFonts w:ascii="Arial" w:hAnsi="Arial" w:cs="Arial"/>
          <w:sz w:val="20"/>
          <w:szCs w:val="20"/>
        </w:rPr>
        <w:footnoteReference w:id="1"/>
      </w:r>
      <w:r w:rsidRPr="001A715C">
        <w:rPr>
          <w:rFonts w:ascii="Arial" w:hAnsi="Arial" w:cs="Arial"/>
          <w:sz w:val="20"/>
          <w:szCs w:val="20"/>
        </w:rPr>
        <w:t>:</w:t>
      </w:r>
    </w:p>
    <w:p w14:paraId="25F7F4BF" w14:textId="77777777" w:rsidR="00493327" w:rsidRPr="001A715C" w:rsidRDefault="00493327" w:rsidP="00493327">
      <w:pPr>
        <w:keepNext/>
        <w:jc w:val="both"/>
        <w:rPr>
          <w:rFonts w:ascii="Arial" w:hAnsi="Arial" w:cs="Arial"/>
          <w:sz w:val="20"/>
          <w:szCs w:val="20"/>
        </w:rPr>
      </w:pPr>
    </w:p>
    <w:p w14:paraId="34751C67" w14:textId="0F8E657F" w:rsidR="00493327" w:rsidRPr="001A715C" w:rsidRDefault="00712271" w:rsidP="00493327">
      <w:pPr>
        <w:keepNext/>
        <w:jc w:val="center"/>
        <w:rPr>
          <w:rFonts w:ascii="Arial" w:hAnsi="Arial" w:cs="Arial"/>
          <w:color w:val="FF0000"/>
          <w:sz w:val="20"/>
          <w:szCs w:val="20"/>
        </w:rPr>
      </w:pPr>
      <w:r w:rsidRPr="001A715C">
        <w:rPr>
          <w:noProof/>
        </w:rPr>
        <w:drawing>
          <wp:inline distT="0" distB="0" distL="0" distR="0" wp14:anchorId="08B07B4B" wp14:editId="693774F2">
            <wp:extent cx="4899660" cy="861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99660" cy="861060"/>
                    </a:xfrm>
                    <a:prstGeom prst="rect">
                      <a:avLst/>
                    </a:prstGeom>
                    <a:noFill/>
                    <a:ln>
                      <a:noFill/>
                    </a:ln>
                  </pic:spPr>
                </pic:pic>
              </a:graphicData>
            </a:graphic>
          </wp:inline>
        </w:drawing>
      </w:r>
    </w:p>
    <w:p w14:paraId="0BCF6D2B" w14:textId="77777777" w:rsidR="00493327" w:rsidRPr="001A715C" w:rsidRDefault="00493327" w:rsidP="00493327">
      <w:pPr>
        <w:keepNext/>
        <w:jc w:val="center"/>
        <w:rPr>
          <w:rFonts w:ascii="Arial" w:hAnsi="Arial" w:cs="Arial"/>
          <w:color w:val="FF0000"/>
          <w:sz w:val="20"/>
          <w:szCs w:val="20"/>
        </w:rPr>
      </w:pPr>
    </w:p>
    <w:p w14:paraId="2F9BC49E" w14:textId="3EFB4C5F" w:rsidR="00493327" w:rsidRPr="001A715C" w:rsidRDefault="00493327" w:rsidP="00493327">
      <w:pPr>
        <w:pStyle w:val="ListParagraph"/>
        <w:keepNext/>
        <w:numPr>
          <w:ilvl w:val="0"/>
          <w:numId w:val="31"/>
        </w:numPr>
        <w:jc w:val="both"/>
        <w:rPr>
          <w:rFonts w:ascii="Arial" w:hAnsi="Arial" w:cs="Arial"/>
          <w:bCs/>
          <w:sz w:val="20"/>
          <w:szCs w:val="20"/>
        </w:rPr>
      </w:pPr>
      <w:bookmarkStart w:id="11" w:name="_Hlk77792065"/>
      <w:r w:rsidRPr="001A715C">
        <w:rPr>
          <w:rFonts w:ascii="Arial" w:hAnsi="Arial" w:cs="Arial"/>
          <w:bCs/>
          <w:sz w:val="20"/>
          <w:szCs w:val="20"/>
        </w:rPr>
        <w:t xml:space="preserve">Non-IFRS EBITDA for the three </w:t>
      </w:r>
      <w:r w:rsidR="00B51094" w:rsidRPr="001A715C">
        <w:rPr>
          <w:rFonts w:ascii="Arial" w:hAnsi="Arial" w:cs="Arial"/>
          <w:bCs/>
          <w:sz w:val="20"/>
          <w:szCs w:val="20"/>
        </w:rPr>
        <w:t>months and year</w:t>
      </w:r>
      <w:r w:rsidRPr="001A715C">
        <w:rPr>
          <w:rFonts w:ascii="Arial" w:hAnsi="Arial" w:cs="Arial"/>
          <w:bCs/>
          <w:sz w:val="20"/>
          <w:szCs w:val="20"/>
        </w:rPr>
        <w:t xml:space="preserve"> ended </w:t>
      </w:r>
      <w:r w:rsidR="00B51094" w:rsidRPr="001A715C">
        <w:rPr>
          <w:rFonts w:ascii="Arial" w:hAnsi="Arial" w:cs="Arial"/>
          <w:bCs/>
          <w:sz w:val="20"/>
          <w:szCs w:val="20"/>
        </w:rPr>
        <w:t>December 31</w:t>
      </w:r>
      <w:r w:rsidRPr="001A715C">
        <w:rPr>
          <w:rFonts w:ascii="Arial" w:hAnsi="Arial" w:cs="Arial"/>
          <w:bCs/>
          <w:sz w:val="20"/>
          <w:szCs w:val="20"/>
        </w:rPr>
        <w:t xml:space="preserve">, </w:t>
      </w:r>
      <w:proofErr w:type="gramStart"/>
      <w:r w:rsidRPr="001A715C">
        <w:rPr>
          <w:rFonts w:ascii="Arial" w:hAnsi="Arial" w:cs="Arial"/>
          <w:bCs/>
          <w:sz w:val="20"/>
          <w:szCs w:val="20"/>
        </w:rPr>
        <w:t>2021</w:t>
      </w:r>
      <w:proofErr w:type="gramEnd"/>
      <w:r w:rsidRPr="001A715C">
        <w:rPr>
          <w:rFonts w:ascii="Arial" w:hAnsi="Arial" w:cs="Arial"/>
          <w:sz w:val="20"/>
          <w:szCs w:val="20"/>
        </w:rPr>
        <w:t xml:space="preserve"> was $</w:t>
      </w:r>
      <w:r w:rsidR="00B51094" w:rsidRPr="001A715C">
        <w:rPr>
          <w:rFonts w:ascii="Arial" w:hAnsi="Arial" w:cs="Arial"/>
          <w:sz w:val="20"/>
          <w:szCs w:val="20"/>
        </w:rPr>
        <w:t>4,331,754</w:t>
      </w:r>
      <w:r w:rsidRPr="001A715C">
        <w:rPr>
          <w:rFonts w:ascii="Arial" w:hAnsi="Arial" w:cs="Arial"/>
          <w:sz w:val="20"/>
          <w:szCs w:val="20"/>
        </w:rPr>
        <w:t xml:space="preserve"> and $</w:t>
      </w:r>
      <w:r w:rsidR="00B51094" w:rsidRPr="001A715C">
        <w:rPr>
          <w:rFonts w:ascii="Arial" w:hAnsi="Arial" w:cs="Arial"/>
          <w:sz w:val="20"/>
          <w:szCs w:val="20"/>
        </w:rPr>
        <w:t>12,336,327</w:t>
      </w:r>
      <w:r w:rsidR="00F215F5" w:rsidRPr="001A715C">
        <w:rPr>
          <w:rFonts w:ascii="Arial" w:hAnsi="Arial" w:cs="Arial"/>
          <w:sz w:val="20"/>
          <w:szCs w:val="20"/>
        </w:rPr>
        <w:t xml:space="preserve"> </w:t>
      </w:r>
      <w:r w:rsidRPr="001A715C">
        <w:rPr>
          <w:rFonts w:ascii="Arial" w:hAnsi="Arial" w:cs="Arial"/>
          <w:sz w:val="20"/>
          <w:szCs w:val="20"/>
        </w:rPr>
        <w:t xml:space="preserve">with an EBITDA margin of </w:t>
      </w:r>
      <w:r w:rsidR="00B51094" w:rsidRPr="001A715C">
        <w:rPr>
          <w:rFonts w:ascii="Arial" w:hAnsi="Arial" w:cs="Arial"/>
          <w:sz w:val="20"/>
          <w:szCs w:val="20"/>
        </w:rPr>
        <w:t>31</w:t>
      </w:r>
      <w:r w:rsidRPr="001A715C">
        <w:rPr>
          <w:rFonts w:ascii="Arial" w:hAnsi="Arial" w:cs="Arial"/>
          <w:sz w:val="20"/>
          <w:szCs w:val="20"/>
        </w:rPr>
        <w:t xml:space="preserve">% and </w:t>
      </w:r>
      <w:r w:rsidR="00B51094" w:rsidRPr="001A715C">
        <w:rPr>
          <w:rFonts w:ascii="Arial" w:hAnsi="Arial" w:cs="Arial"/>
          <w:sz w:val="20"/>
          <w:szCs w:val="20"/>
        </w:rPr>
        <w:t>22</w:t>
      </w:r>
      <w:r w:rsidRPr="001A715C">
        <w:rPr>
          <w:rFonts w:ascii="Arial" w:hAnsi="Arial" w:cs="Arial"/>
          <w:sz w:val="20"/>
          <w:szCs w:val="20"/>
        </w:rPr>
        <w:t xml:space="preserve">%, respectively. EBITDA for the three </w:t>
      </w:r>
      <w:r w:rsidR="00B51094" w:rsidRPr="001A715C">
        <w:rPr>
          <w:rFonts w:ascii="Arial" w:hAnsi="Arial" w:cs="Arial"/>
          <w:sz w:val="20"/>
          <w:szCs w:val="20"/>
        </w:rPr>
        <w:t>months and year</w:t>
      </w:r>
      <w:r w:rsidRPr="001A715C">
        <w:rPr>
          <w:rFonts w:ascii="Arial" w:hAnsi="Arial" w:cs="Arial"/>
          <w:sz w:val="20"/>
          <w:szCs w:val="20"/>
        </w:rPr>
        <w:t xml:space="preserve"> ended </w:t>
      </w:r>
      <w:r w:rsidR="00B51094" w:rsidRPr="001A715C">
        <w:rPr>
          <w:rFonts w:ascii="Arial" w:hAnsi="Arial" w:cs="Arial"/>
          <w:sz w:val="20"/>
          <w:szCs w:val="20"/>
        </w:rPr>
        <w:t>December 31</w:t>
      </w:r>
      <w:r w:rsidRPr="001A715C">
        <w:rPr>
          <w:rFonts w:ascii="Arial" w:hAnsi="Arial" w:cs="Arial"/>
          <w:sz w:val="20"/>
          <w:szCs w:val="20"/>
        </w:rPr>
        <w:t xml:space="preserve">, </w:t>
      </w:r>
      <w:proofErr w:type="gramStart"/>
      <w:r w:rsidRPr="001A715C">
        <w:rPr>
          <w:rFonts w:ascii="Arial" w:hAnsi="Arial" w:cs="Arial"/>
          <w:sz w:val="20"/>
          <w:szCs w:val="20"/>
        </w:rPr>
        <w:t>2020</w:t>
      </w:r>
      <w:proofErr w:type="gramEnd"/>
      <w:r w:rsidRPr="001A715C">
        <w:rPr>
          <w:rFonts w:ascii="Arial" w:hAnsi="Arial" w:cs="Arial"/>
          <w:sz w:val="20"/>
          <w:szCs w:val="20"/>
        </w:rPr>
        <w:t xml:space="preserve"> was $</w:t>
      </w:r>
      <w:r w:rsidR="00B51094" w:rsidRPr="001A715C">
        <w:rPr>
          <w:rFonts w:ascii="Arial" w:hAnsi="Arial" w:cs="Arial"/>
          <w:sz w:val="20"/>
          <w:szCs w:val="20"/>
        </w:rPr>
        <w:t>1,390,610</w:t>
      </w:r>
      <w:r w:rsidRPr="001A715C">
        <w:rPr>
          <w:rFonts w:ascii="Arial" w:hAnsi="Arial" w:cs="Arial"/>
          <w:sz w:val="20"/>
          <w:szCs w:val="20"/>
        </w:rPr>
        <w:t xml:space="preserve"> and $</w:t>
      </w:r>
      <w:r w:rsidR="00B51094" w:rsidRPr="001A715C">
        <w:rPr>
          <w:rFonts w:ascii="Arial" w:hAnsi="Arial" w:cs="Arial"/>
          <w:sz w:val="20"/>
          <w:szCs w:val="20"/>
        </w:rPr>
        <w:t>3,722,710</w:t>
      </w:r>
      <w:r w:rsidRPr="001A715C">
        <w:rPr>
          <w:rFonts w:ascii="Arial" w:hAnsi="Arial" w:cs="Arial"/>
          <w:sz w:val="20"/>
          <w:szCs w:val="20"/>
        </w:rPr>
        <w:t xml:space="preserve"> with an EBITDA margin of </w:t>
      </w:r>
      <w:r w:rsidR="00B51094" w:rsidRPr="001A715C">
        <w:rPr>
          <w:rFonts w:ascii="Arial" w:hAnsi="Arial" w:cs="Arial"/>
          <w:sz w:val="20"/>
          <w:szCs w:val="20"/>
        </w:rPr>
        <w:t>13</w:t>
      </w:r>
      <w:r w:rsidRPr="001A715C">
        <w:rPr>
          <w:rFonts w:ascii="Arial" w:hAnsi="Arial" w:cs="Arial"/>
          <w:sz w:val="20"/>
          <w:szCs w:val="20"/>
        </w:rPr>
        <w:t xml:space="preserve">% and </w:t>
      </w:r>
      <w:r w:rsidR="00B51094" w:rsidRPr="001A715C">
        <w:rPr>
          <w:rFonts w:ascii="Arial" w:hAnsi="Arial" w:cs="Arial"/>
          <w:sz w:val="20"/>
          <w:szCs w:val="20"/>
        </w:rPr>
        <w:t>10</w:t>
      </w:r>
      <w:r w:rsidRPr="001A715C">
        <w:rPr>
          <w:rFonts w:ascii="Arial" w:hAnsi="Arial" w:cs="Arial"/>
          <w:sz w:val="20"/>
          <w:szCs w:val="20"/>
        </w:rPr>
        <w:t xml:space="preserve">%, respectively. EBITDA and EBITDA margin for the three </w:t>
      </w:r>
      <w:r w:rsidR="00B51094" w:rsidRPr="001A715C">
        <w:rPr>
          <w:rFonts w:ascii="Arial" w:hAnsi="Arial" w:cs="Arial"/>
          <w:sz w:val="20"/>
          <w:szCs w:val="20"/>
        </w:rPr>
        <w:t xml:space="preserve">months </w:t>
      </w:r>
      <w:r w:rsidRPr="001A715C">
        <w:rPr>
          <w:rFonts w:ascii="Arial" w:hAnsi="Arial" w:cs="Arial"/>
          <w:sz w:val="20"/>
          <w:szCs w:val="20"/>
        </w:rPr>
        <w:t xml:space="preserve">and </w:t>
      </w:r>
      <w:r w:rsidR="00B51094" w:rsidRPr="001A715C">
        <w:rPr>
          <w:rFonts w:ascii="Arial" w:hAnsi="Arial" w:cs="Arial"/>
          <w:sz w:val="20"/>
          <w:szCs w:val="20"/>
        </w:rPr>
        <w:t>year</w:t>
      </w:r>
      <w:r w:rsidRPr="001A715C">
        <w:rPr>
          <w:rFonts w:ascii="Arial" w:hAnsi="Arial" w:cs="Arial"/>
          <w:sz w:val="20"/>
          <w:szCs w:val="20"/>
        </w:rPr>
        <w:t xml:space="preserve"> ended </w:t>
      </w:r>
      <w:r w:rsidR="001A715C" w:rsidRPr="001A715C">
        <w:rPr>
          <w:rFonts w:ascii="Arial" w:hAnsi="Arial" w:cs="Arial"/>
          <w:sz w:val="20"/>
          <w:szCs w:val="20"/>
        </w:rPr>
        <w:t>December 31</w:t>
      </w:r>
      <w:r w:rsidRPr="001A715C">
        <w:rPr>
          <w:rFonts w:ascii="Arial" w:hAnsi="Arial" w:cs="Arial"/>
          <w:sz w:val="20"/>
          <w:szCs w:val="20"/>
        </w:rPr>
        <w:t xml:space="preserve">, </w:t>
      </w:r>
      <w:proofErr w:type="gramStart"/>
      <w:r w:rsidRPr="001A715C">
        <w:rPr>
          <w:rFonts w:ascii="Arial" w:hAnsi="Arial" w:cs="Arial"/>
          <w:sz w:val="20"/>
          <w:szCs w:val="20"/>
        </w:rPr>
        <w:t>2021</w:t>
      </w:r>
      <w:proofErr w:type="gramEnd"/>
      <w:r w:rsidRPr="001A715C">
        <w:rPr>
          <w:rFonts w:ascii="Arial" w:hAnsi="Arial" w:cs="Arial"/>
          <w:sz w:val="20"/>
          <w:szCs w:val="20"/>
        </w:rPr>
        <w:t xml:space="preserve"> increased by 212% and 2</w:t>
      </w:r>
      <w:r w:rsidR="001A715C" w:rsidRPr="001A715C">
        <w:rPr>
          <w:rFonts w:ascii="Arial" w:hAnsi="Arial" w:cs="Arial"/>
          <w:sz w:val="20"/>
          <w:szCs w:val="20"/>
        </w:rPr>
        <w:t>31</w:t>
      </w:r>
      <w:r w:rsidRPr="001A715C">
        <w:rPr>
          <w:rFonts w:ascii="Arial" w:hAnsi="Arial" w:cs="Arial"/>
          <w:sz w:val="20"/>
          <w:szCs w:val="20"/>
        </w:rPr>
        <w:t>%, respectively</w:t>
      </w:r>
      <w:r w:rsidR="000B7FE6" w:rsidRPr="001A715C">
        <w:rPr>
          <w:rFonts w:ascii="Arial" w:hAnsi="Arial" w:cs="Arial"/>
          <w:sz w:val="20"/>
          <w:szCs w:val="20"/>
        </w:rPr>
        <w:t>,</w:t>
      </w:r>
      <w:r w:rsidRPr="001A715C">
        <w:rPr>
          <w:rFonts w:ascii="Arial" w:hAnsi="Arial" w:cs="Arial"/>
          <w:sz w:val="20"/>
          <w:szCs w:val="20"/>
        </w:rPr>
        <w:t xml:space="preserve"> compared to the three </w:t>
      </w:r>
      <w:r w:rsidR="001A715C" w:rsidRPr="001A715C">
        <w:rPr>
          <w:rFonts w:ascii="Arial" w:hAnsi="Arial" w:cs="Arial"/>
          <w:sz w:val="20"/>
          <w:szCs w:val="20"/>
        </w:rPr>
        <w:t xml:space="preserve">months </w:t>
      </w:r>
      <w:r w:rsidRPr="001A715C">
        <w:rPr>
          <w:rFonts w:ascii="Arial" w:hAnsi="Arial" w:cs="Arial"/>
          <w:sz w:val="20"/>
          <w:szCs w:val="20"/>
        </w:rPr>
        <w:t>and</w:t>
      </w:r>
      <w:r w:rsidR="001A715C" w:rsidRPr="001A715C">
        <w:rPr>
          <w:rFonts w:ascii="Arial" w:hAnsi="Arial" w:cs="Arial"/>
          <w:sz w:val="20"/>
          <w:szCs w:val="20"/>
        </w:rPr>
        <w:t xml:space="preserve"> year </w:t>
      </w:r>
      <w:r w:rsidRPr="001A715C">
        <w:rPr>
          <w:rFonts w:ascii="Arial" w:hAnsi="Arial" w:cs="Arial"/>
          <w:sz w:val="20"/>
          <w:szCs w:val="20"/>
        </w:rPr>
        <w:t xml:space="preserve">ended </w:t>
      </w:r>
      <w:r w:rsidR="001A715C" w:rsidRPr="001A715C">
        <w:rPr>
          <w:rFonts w:ascii="Arial" w:hAnsi="Arial" w:cs="Arial"/>
          <w:sz w:val="20"/>
          <w:szCs w:val="20"/>
        </w:rPr>
        <w:t>December 31</w:t>
      </w:r>
      <w:r w:rsidRPr="001A715C">
        <w:rPr>
          <w:rFonts w:ascii="Arial" w:hAnsi="Arial" w:cs="Arial"/>
          <w:sz w:val="20"/>
          <w:szCs w:val="20"/>
        </w:rPr>
        <w:t>, 2020 d</w:t>
      </w:r>
      <w:r w:rsidRPr="001A715C">
        <w:rPr>
          <w:rFonts w:ascii="Arial" w:hAnsi="Arial" w:cs="Arial"/>
          <w:bCs/>
          <w:sz w:val="20"/>
          <w:szCs w:val="20"/>
        </w:rPr>
        <w:t>ue to increased net income for the period resulting from increased sales, improved gross margins, and reduced operating expenses.</w:t>
      </w:r>
    </w:p>
    <w:bookmarkEnd w:id="11"/>
    <w:p w14:paraId="05D2AB82" w14:textId="77777777" w:rsidR="00493327" w:rsidRPr="001A715C" w:rsidRDefault="00493327" w:rsidP="00493327">
      <w:pPr>
        <w:pStyle w:val="ListParagraph"/>
        <w:keepNext/>
        <w:ind w:left="720" w:firstLine="0"/>
        <w:jc w:val="both"/>
        <w:rPr>
          <w:rFonts w:ascii="Arial" w:hAnsi="Arial" w:cs="Arial"/>
          <w:bCs/>
          <w:sz w:val="20"/>
          <w:szCs w:val="20"/>
        </w:rPr>
      </w:pPr>
    </w:p>
    <w:p w14:paraId="7E0A3FFD" w14:textId="4D39C05A" w:rsidR="00493327" w:rsidRPr="001A715C" w:rsidRDefault="00B51094" w:rsidP="00493327">
      <w:pPr>
        <w:keepNext/>
        <w:ind w:left="360"/>
        <w:jc w:val="center"/>
        <w:rPr>
          <w:rFonts w:ascii="Arial" w:hAnsi="Arial" w:cs="Arial"/>
          <w:bCs/>
          <w:sz w:val="20"/>
          <w:szCs w:val="20"/>
        </w:rPr>
      </w:pPr>
      <w:r w:rsidRPr="001A715C">
        <w:rPr>
          <w:noProof/>
        </w:rPr>
        <w:drawing>
          <wp:inline distT="0" distB="0" distL="0" distR="0" wp14:anchorId="655FDC72" wp14:editId="1AD3DFB4">
            <wp:extent cx="4899660" cy="8686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99660" cy="868680"/>
                    </a:xfrm>
                    <a:prstGeom prst="rect">
                      <a:avLst/>
                    </a:prstGeom>
                    <a:noFill/>
                    <a:ln>
                      <a:noFill/>
                    </a:ln>
                  </pic:spPr>
                </pic:pic>
              </a:graphicData>
            </a:graphic>
          </wp:inline>
        </w:drawing>
      </w:r>
    </w:p>
    <w:p w14:paraId="6A45BBBA" w14:textId="77777777" w:rsidR="00493327" w:rsidRPr="001A715C" w:rsidRDefault="00493327" w:rsidP="00493327">
      <w:pPr>
        <w:keepNext/>
        <w:ind w:left="360"/>
        <w:jc w:val="center"/>
        <w:rPr>
          <w:rFonts w:ascii="Arial" w:hAnsi="Arial" w:cs="Arial"/>
          <w:bCs/>
          <w:sz w:val="20"/>
          <w:szCs w:val="20"/>
        </w:rPr>
      </w:pPr>
    </w:p>
    <w:p w14:paraId="103FC14A" w14:textId="4A608CF6" w:rsidR="00493327" w:rsidRPr="001A715C" w:rsidRDefault="00493327" w:rsidP="00493327">
      <w:pPr>
        <w:pStyle w:val="ListParagraph"/>
        <w:keepNext/>
        <w:numPr>
          <w:ilvl w:val="0"/>
          <w:numId w:val="31"/>
        </w:numPr>
        <w:jc w:val="both"/>
        <w:rPr>
          <w:rFonts w:ascii="Arial" w:hAnsi="Arial" w:cs="Arial"/>
          <w:bCs/>
          <w:sz w:val="20"/>
          <w:szCs w:val="20"/>
        </w:rPr>
      </w:pPr>
      <w:r w:rsidRPr="001A715C">
        <w:rPr>
          <w:rFonts w:ascii="Arial" w:hAnsi="Arial" w:cs="Arial"/>
          <w:sz w:val="20"/>
          <w:szCs w:val="20"/>
        </w:rPr>
        <w:t>Non-IFRS measures adjusted EBITDA and normalized EBITDA increased to $</w:t>
      </w:r>
      <w:r w:rsidR="001A715C" w:rsidRPr="001A715C">
        <w:rPr>
          <w:rFonts w:ascii="Arial" w:hAnsi="Arial" w:cs="Arial"/>
          <w:sz w:val="20"/>
          <w:szCs w:val="20"/>
        </w:rPr>
        <w:t>12,610,867</w:t>
      </w:r>
      <w:r w:rsidRPr="001A715C">
        <w:rPr>
          <w:rFonts w:ascii="Arial" w:hAnsi="Arial" w:cs="Arial"/>
          <w:sz w:val="20"/>
          <w:szCs w:val="20"/>
        </w:rPr>
        <w:t xml:space="preserve"> and $</w:t>
      </w:r>
      <w:r w:rsidR="001A715C" w:rsidRPr="001A715C">
        <w:rPr>
          <w:rFonts w:ascii="Arial" w:hAnsi="Arial" w:cs="Arial"/>
          <w:sz w:val="20"/>
          <w:szCs w:val="20"/>
        </w:rPr>
        <w:t>12,942,569</w:t>
      </w:r>
      <w:r w:rsidRPr="001A715C">
        <w:rPr>
          <w:rFonts w:ascii="Arial" w:hAnsi="Arial" w:cs="Arial"/>
          <w:sz w:val="20"/>
          <w:szCs w:val="20"/>
        </w:rPr>
        <w:t xml:space="preserve">, respectively for the </w:t>
      </w:r>
      <w:r w:rsidR="001A715C" w:rsidRPr="001A715C">
        <w:rPr>
          <w:rFonts w:ascii="Arial" w:hAnsi="Arial" w:cs="Arial"/>
          <w:sz w:val="20"/>
          <w:szCs w:val="20"/>
        </w:rPr>
        <w:t>year</w:t>
      </w:r>
      <w:r w:rsidRPr="001A715C">
        <w:rPr>
          <w:rFonts w:ascii="Arial" w:hAnsi="Arial" w:cs="Arial"/>
          <w:sz w:val="20"/>
          <w:szCs w:val="20"/>
        </w:rPr>
        <w:t xml:space="preserve"> ended </w:t>
      </w:r>
      <w:r w:rsidR="001A715C" w:rsidRPr="001A715C">
        <w:rPr>
          <w:rFonts w:ascii="Arial" w:hAnsi="Arial" w:cs="Arial"/>
          <w:sz w:val="20"/>
          <w:szCs w:val="20"/>
        </w:rPr>
        <w:t>December 31</w:t>
      </w:r>
      <w:r w:rsidRPr="001A715C">
        <w:rPr>
          <w:rFonts w:ascii="Arial" w:hAnsi="Arial" w:cs="Arial"/>
          <w:sz w:val="20"/>
          <w:szCs w:val="20"/>
        </w:rPr>
        <w:t xml:space="preserve">, </w:t>
      </w:r>
      <w:proofErr w:type="gramStart"/>
      <w:r w:rsidRPr="001A715C">
        <w:rPr>
          <w:rFonts w:ascii="Arial" w:hAnsi="Arial" w:cs="Arial"/>
          <w:sz w:val="20"/>
          <w:szCs w:val="20"/>
        </w:rPr>
        <w:t>2021</w:t>
      </w:r>
      <w:proofErr w:type="gramEnd"/>
      <w:r w:rsidRPr="001A715C">
        <w:rPr>
          <w:rFonts w:ascii="Arial" w:hAnsi="Arial" w:cs="Arial"/>
          <w:sz w:val="20"/>
          <w:szCs w:val="20"/>
        </w:rPr>
        <w:t xml:space="preserve"> from $</w:t>
      </w:r>
      <w:r w:rsidR="001A715C" w:rsidRPr="001A715C">
        <w:rPr>
          <w:rFonts w:ascii="Arial" w:hAnsi="Arial" w:cs="Arial"/>
          <w:sz w:val="20"/>
          <w:szCs w:val="20"/>
        </w:rPr>
        <w:t>3,346,671</w:t>
      </w:r>
      <w:r w:rsidRPr="001A715C">
        <w:rPr>
          <w:rFonts w:ascii="Arial" w:hAnsi="Arial" w:cs="Arial"/>
          <w:sz w:val="20"/>
          <w:szCs w:val="20"/>
        </w:rPr>
        <w:t xml:space="preserve"> and $</w:t>
      </w:r>
      <w:r w:rsidR="001A715C" w:rsidRPr="001A715C">
        <w:rPr>
          <w:rFonts w:ascii="Arial" w:hAnsi="Arial" w:cs="Arial"/>
          <w:sz w:val="20"/>
          <w:szCs w:val="20"/>
        </w:rPr>
        <w:t>4,045,232</w:t>
      </w:r>
      <w:r w:rsidRPr="001A715C">
        <w:rPr>
          <w:rFonts w:ascii="Arial" w:hAnsi="Arial" w:cs="Arial"/>
          <w:sz w:val="20"/>
          <w:szCs w:val="20"/>
        </w:rPr>
        <w:t xml:space="preserve"> respectively for the </w:t>
      </w:r>
      <w:r w:rsidR="001A715C" w:rsidRPr="001A715C">
        <w:rPr>
          <w:rFonts w:ascii="Arial" w:hAnsi="Arial" w:cs="Arial"/>
          <w:sz w:val="20"/>
          <w:szCs w:val="20"/>
        </w:rPr>
        <w:t>year</w:t>
      </w:r>
      <w:r w:rsidRPr="001A715C">
        <w:rPr>
          <w:rFonts w:ascii="Arial" w:hAnsi="Arial" w:cs="Arial"/>
          <w:sz w:val="20"/>
          <w:szCs w:val="20"/>
        </w:rPr>
        <w:t xml:space="preserve"> ended </w:t>
      </w:r>
      <w:r w:rsidR="001A715C" w:rsidRPr="001A715C">
        <w:rPr>
          <w:rFonts w:ascii="Arial" w:hAnsi="Arial" w:cs="Arial"/>
          <w:sz w:val="20"/>
          <w:szCs w:val="20"/>
        </w:rPr>
        <w:t>December 31</w:t>
      </w:r>
      <w:r w:rsidRPr="001A715C">
        <w:rPr>
          <w:rFonts w:ascii="Arial" w:hAnsi="Arial" w:cs="Arial"/>
          <w:sz w:val="20"/>
          <w:szCs w:val="20"/>
        </w:rPr>
        <w:t>, 2020 as shown above. These significant improvements were also due to increased sales, improved gross margins, and reduced operating cost</w:t>
      </w:r>
      <w:r w:rsidRPr="001A715C">
        <w:rPr>
          <w:rFonts w:ascii="Arial" w:hAnsi="Arial" w:cs="Arial"/>
          <w:bCs/>
          <w:sz w:val="20"/>
          <w:szCs w:val="20"/>
        </w:rPr>
        <w:t xml:space="preserve">. </w:t>
      </w:r>
    </w:p>
    <w:p w14:paraId="6480910B" w14:textId="77777777" w:rsidR="00493327" w:rsidRPr="008378AE" w:rsidRDefault="00493327" w:rsidP="00493327">
      <w:pPr>
        <w:jc w:val="both"/>
        <w:rPr>
          <w:rFonts w:ascii="Arial" w:hAnsi="Arial" w:cs="Arial"/>
          <w:sz w:val="20"/>
          <w:szCs w:val="20"/>
        </w:rPr>
      </w:pPr>
    </w:p>
    <w:p w14:paraId="334939CC" w14:textId="77777777" w:rsidR="00493327" w:rsidRPr="008378AE" w:rsidRDefault="00493327" w:rsidP="00493327">
      <w:pPr>
        <w:keepNext/>
        <w:jc w:val="both"/>
        <w:rPr>
          <w:rFonts w:ascii="Arial" w:hAnsi="Arial" w:cs="Arial"/>
          <w:sz w:val="20"/>
          <w:szCs w:val="20"/>
        </w:rPr>
      </w:pPr>
      <w:r w:rsidRPr="008378AE">
        <w:rPr>
          <w:rFonts w:ascii="Arial" w:hAnsi="Arial" w:cs="Arial"/>
          <w:sz w:val="20"/>
          <w:szCs w:val="20"/>
        </w:rPr>
        <w:t>Cost of Sales &amp; Gross Margin:</w:t>
      </w:r>
    </w:p>
    <w:p w14:paraId="6ADFE0B4" w14:textId="27D292B0" w:rsidR="0056038A" w:rsidRPr="008378AE" w:rsidRDefault="0056038A" w:rsidP="0056038A">
      <w:pPr>
        <w:pStyle w:val="ListParagraph"/>
        <w:keepNext/>
        <w:numPr>
          <w:ilvl w:val="0"/>
          <w:numId w:val="31"/>
        </w:numPr>
        <w:adjustRightInd w:val="0"/>
        <w:jc w:val="both"/>
        <w:rPr>
          <w:rFonts w:ascii="Arial" w:hAnsi="Arial" w:cs="Arial"/>
          <w:sz w:val="20"/>
          <w:szCs w:val="20"/>
        </w:rPr>
      </w:pPr>
      <w:r w:rsidRPr="008378AE">
        <w:rPr>
          <w:rFonts w:ascii="Arial" w:hAnsi="Arial" w:cs="Arial"/>
          <w:bCs/>
          <w:sz w:val="20"/>
          <w:szCs w:val="20"/>
          <w:lang w:eastAsia="zh-TW"/>
        </w:rPr>
        <w:t xml:space="preserve">Cost of sales for the year ended December 31, </w:t>
      </w:r>
      <w:proofErr w:type="gramStart"/>
      <w:r w:rsidRPr="008378AE">
        <w:rPr>
          <w:rFonts w:ascii="Arial" w:hAnsi="Arial" w:cs="Arial"/>
          <w:bCs/>
          <w:sz w:val="20"/>
          <w:szCs w:val="20"/>
          <w:lang w:eastAsia="zh-TW"/>
        </w:rPr>
        <w:t>2021</w:t>
      </w:r>
      <w:proofErr w:type="gramEnd"/>
      <w:r w:rsidRPr="008378AE">
        <w:rPr>
          <w:rFonts w:ascii="Arial" w:hAnsi="Arial" w:cs="Arial"/>
          <w:bCs/>
          <w:sz w:val="20"/>
          <w:szCs w:val="20"/>
          <w:lang w:eastAsia="zh-TW"/>
        </w:rPr>
        <w:t xml:space="preserve"> was $38,844,926 compared to $28,437,395 for the year ended December 31, 2020. </w:t>
      </w:r>
      <w:r w:rsidRPr="008378AE">
        <w:rPr>
          <w:rFonts w:ascii="Arial" w:hAnsi="Arial" w:cs="Arial"/>
          <w:sz w:val="20"/>
          <w:szCs w:val="20"/>
        </w:rPr>
        <w:t xml:space="preserve">Cost of sales has increased primarily due to the increase in sales compared to the prior period. </w:t>
      </w:r>
    </w:p>
    <w:p w14:paraId="47A24DFB" w14:textId="77777777" w:rsidR="00493327" w:rsidRPr="008378AE" w:rsidRDefault="00493327" w:rsidP="00493327">
      <w:pPr>
        <w:pStyle w:val="ListParagraph"/>
        <w:rPr>
          <w:rFonts w:ascii="Arial" w:eastAsiaTheme="minorHAnsi" w:hAnsi="Arial" w:cs="Arial"/>
          <w:sz w:val="20"/>
          <w:szCs w:val="20"/>
          <w:lang w:val="en-CA" w:eastAsia="en-CA"/>
        </w:rPr>
      </w:pPr>
    </w:p>
    <w:p w14:paraId="1CEEF344" w14:textId="77777777" w:rsidR="0056038A" w:rsidRPr="0056038A" w:rsidRDefault="0056038A" w:rsidP="0056038A">
      <w:pPr>
        <w:pStyle w:val="ListParagraph"/>
        <w:keepNext/>
        <w:numPr>
          <w:ilvl w:val="0"/>
          <w:numId w:val="31"/>
        </w:numPr>
        <w:adjustRightInd w:val="0"/>
        <w:jc w:val="both"/>
        <w:rPr>
          <w:rFonts w:ascii="Arial" w:hAnsi="Arial" w:cs="Arial"/>
          <w:sz w:val="20"/>
          <w:szCs w:val="20"/>
        </w:rPr>
      </w:pPr>
      <w:r w:rsidRPr="008378AE">
        <w:rPr>
          <w:rFonts w:ascii="Arial" w:hAnsi="Arial" w:cs="Arial"/>
          <w:sz w:val="20"/>
          <w:szCs w:val="20"/>
        </w:rPr>
        <w:t xml:space="preserve">Gross profit for the year ended December 31, </w:t>
      </w:r>
      <w:proofErr w:type="gramStart"/>
      <w:r w:rsidRPr="008378AE">
        <w:rPr>
          <w:rFonts w:ascii="Arial" w:hAnsi="Arial" w:cs="Arial"/>
          <w:sz w:val="20"/>
          <w:szCs w:val="20"/>
        </w:rPr>
        <w:t>2021</w:t>
      </w:r>
      <w:proofErr w:type="gramEnd"/>
      <w:r w:rsidRPr="008378AE">
        <w:rPr>
          <w:rFonts w:ascii="Arial" w:hAnsi="Arial" w:cs="Arial"/>
          <w:sz w:val="20"/>
          <w:szCs w:val="20"/>
        </w:rPr>
        <w:t xml:space="preserve"> was $16,152,936 compared to $7,297,020 for the year ended December 31, 2020. </w:t>
      </w:r>
      <w:r w:rsidRPr="008378AE">
        <w:rPr>
          <w:rFonts w:ascii="Arial" w:hAnsi="Arial" w:cs="Arial"/>
          <w:bCs/>
          <w:sz w:val="20"/>
          <w:szCs w:val="20"/>
          <w:lang w:eastAsia="zh-TW"/>
        </w:rPr>
        <w:t xml:space="preserve">Gross margin for the year ended December 31, </w:t>
      </w:r>
      <w:proofErr w:type="gramStart"/>
      <w:r w:rsidRPr="008378AE">
        <w:rPr>
          <w:rFonts w:ascii="Arial" w:hAnsi="Arial" w:cs="Arial"/>
          <w:bCs/>
          <w:sz w:val="20"/>
          <w:szCs w:val="20"/>
          <w:lang w:eastAsia="zh-TW"/>
        </w:rPr>
        <w:t>2021</w:t>
      </w:r>
      <w:proofErr w:type="gramEnd"/>
      <w:r w:rsidRPr="008378AE">
        <w:rPr>
          <w:rFonts w:ascii="Arial" w:hAnsi="Arial" w:cs="Arial"/>
          <w:bCs/>
          <w:sz w:val="20"/>
          <w:szCs w:val="20"/>
          <w:lang w:eastAsia="zh-TW"/>
        </w:rPr>
        <w:t xml:space="preserve"> was 29%, which is higher than gross</w:t>
      </w:r>
      <w:r w:rsidRPr="0056038A">
        <w:rPr>
          <w:rFonts w:ascii="Arial" w:hAnsi="Arial" w:cs="Arial"/>
          <w:bCs/>
          <w:sz w:val="20"/>
          <w:szCs w:val="20"/>
          <w:lang w:eastAsia="zh-TW"/>
        </w:rPr>
        <w:t xml:space="preserve"> margin of 20% for the year ended December 31, 2020. </w:t>
      </w:r>
      <w:r w:rsidRPr="0056038A">
        <w:rPr>
          <w:rFonts w:ascii="Arial" w:hAnsi="Arial" w:cs="Arial"/>
          <w:sz w:val="20"/>
          <w:szCs w:val="20"/>
        </w:rPr>
        <w:t xml:space="preserve">Gross profits and margins increased due to pricing assessments and updates being completed at all locations as raw material prices fluctuated. Additionally, the Company has also focused on improving efficiencies on new product lines and new acquisitions, </w:t>
      </w:r>
      <w:proofErr w:type="gramStart"/>
      <w:r w:rsidRPr="0056038A">
        <w:rPr>
          <w:rFonts w:ascii="Arial" w:hAnsi="Arial" w:cs="Arial"/>
          <w:sz w:val="20"/>
          <w:szCs w:val="20"/>
        </w:rPr>
        <w:t>as well as,</w:t>
      </w:r>
      <w:proofErr w:type="gramEnd"/>
      <w:r w:rsidRPr="0056038A">
        <w:rPr>
          <w:rFonts w:ascii="Arial" w:hAnsi="Arial" w:cs="Arial"/>
          <w:sz w:val="20"/>
          <w:szCs w:val="20"/>
        </w:rPr>
        <w:t xml:space="preserve"> the Company’s core product lines with more automated manufacturing equipment purchased at the end of January 2021.</w:t>
      </w:r>
    </w:p>
    <w:p w14:paraId="008D8E40" w14:textId="77777777" w:rsidR="00493327" w:rsidRPr="008378AE" w:rsidRDefault="00493327" w:rsidP="00493327">
      <w:pPr>
        <w:pStyle w:val="ListParagraph"/>
        <w:rPr>
          <w:rFonts w:ascii="Arial" w:hAnsi="Arial" w:cs="Arial"/>
          <w:sz w:val="20"/>
          <w:szCs w:val="20"/>
        </w:rPr>
      </w:pPr>
    </w:p>
    <w:p w14:paraId="0155E4D4" w14:textId="73806E13" w:rsidR="00AD73F1" w:rsidRDefault="00493327" w:rsidP="009A6446">
      <w:pPr>
        <w:pStyle w:val="ListParagraph"/>
        <w:keepNext/>
        <w:numPr>
          <w:ilvl w:val="0"/>
          <w:numId w:val="29"/>
        </w:numPr>
        <w:adjustRightInd w:val="0"/>
        <w:jc w:val="both"/>
        <w:rPr>
          <w:rFonts w:ascii="Arial" w:hAnsi="Arial" w:cs="Arial"/>
          <w:sz w:val="20"/>
          <w:szCs w:val="20"/>
        </w:rPr>
      </w:pPr>
      <w:r w:rsidRPr="008378AE">
        <w:rPr>
          <w:rFonts w:ascii="Arial" w:hAnsi="Arial" w:cs="Arial"/>
          <w:sz w:val="20"/>
          <w:szCs w:val="20"/>
        </w:rPr>
        <w:t xml:space="preserve">Gross margin </w:t>
      </w:r>
      <w:r w:rsidR="004C3EAA" w:rsidRPr="008378AE">
        <w:rPr>
          <w:rFonts w:ascii="Arial" w:hAnsi="Arial" w:cs="Arial"/>
          <w:sz w:val="20"/>
          <w:szCs w:val="20"/>
        </w:rPr>
        <w:t xml:space="preserve">for the three months and year ended December 31, </w:t>
      </w:r>
      <w:proofErr w:type="gramStart"/>
      <w:r w:rsidR="004C3EAA" w:rsidRPr="008378AE">
        <w:rPr>
          <w:rFonts w:ascii="Arial" w:hAnsi="Arial" w:cs="Arial"/>
          <w:sz w:val="20"/>
          <w:szCs w:val="20"/>
        </w:rPr>
        <w:t>2021</w:t>
      </w:r>
      <w:proofErr w:type="gramEnd"/>
      <w:r w:rsidR="004C3EAA" w:rsidRPr="008378AE">
        <w:rPr>
          <w:rFonts w:ascii="Arial" w:hAnsi="Arial" w:cs="Arial"/>
          <w:sz w:val="20"/>
          <w:szCs w:val="20"/>
        </w:rPr>
        <w:t xml:space="preserve"> inc</w:t>
      </w:r>
      <w:r w:rsidRPr="008378AE">
        <w:rPr>
          <w:rFonts w:ascii="Arial" w:hAnsi="Arial" w:cs="Arial"/>
          <w:sz w:val="20"/>
          <w:szCs w:val="20"/>
        </w:rPr>
        <w:t>reased to 3</w:t>
      </w:r>
      <w:r w:rsidR="00892119" w:rsidRPr="008378AE">
        <w:rPr>
          <w:rFonts w:ascii="Arial" w:hAnsi="Arial" w:cs="Arial"/>
          <w:sz w:val="20"/>
          <w:szCs w:val="20"/>
        </w:rPr>
        <w:t>7</w:t>
      </w:r>
      <w:r w:rsidRPr="008378AE">
        <w:rPr>
          <w:rFonts w:ascii="Arial" w:hAnsi="Arial" w:cs="Arial"/>
          <w:sz w:val="20"/>
          <w:szCs w:val="20"/>
        </w:rPr>
        <w:t>%</w:t>
      </w:r>
      <w:r w:rsidR="004C3EAA" w:rsidRPr="008378AE">
        <w:rPr>
          <w:rFonts w:ascii="Arial" w:hAnsi="Arial" w:cs="Arial"/>
          <w:sz w:val="20"/>
          <w:szCs w:val="20"/>
        </w:rPr>
        <w:t xml:space="preserve"> and 29%, respectively </w:t>
      </w:r>
      <w:r w:rsidR="004961C5">
        <w:rPr>
          <w:rFonts w:ascii="Arial" w:hAnsi="Arial" w:cs="Arial"/>
          <w:sz w:val="20"/>
          <w:szCs w:val="20"/>
        </w:rPr>
        <w:t>c</w:t>
      </w:r>
      <w:r w:rsidR="004C3EAA" w:rsidRPr="008378AE">
        <w:rPr>
          <w:rFonts w:ascii="Arial" w:hAnsi="Arial" w:cs="Arial"/>
          <w:sz w:val="20"/>
          <w:szCs w:val="20"/>
        </w:rPr>
        <w:t>ompared to gross margin of 20% and 20%</w:t>
      </w:r>
      <w:r w:rsidRPr="008378AE">
        <w:rPr>
          <w:rFonts w:ascii="Arial" w:hAnsi="Arial" w:cs="Arial"/>
          <w:sz w:val="20"/>
          <w:szCs w:val="20"/>
        </w:rPr>
        <w:t xml:space="preserve"> for the three months </w:t>
      </w:r>
      <w:r w:rsidR="004C3EAA" w:rsidRPr="008378AE">
        <w:rPr>
          <w:rFonts w:ascii="Arial" w:hAnsi="Arial" w:cs="Arial"/>
          <w:sz w:val="20"/>
          <w:szCs w:val="20"/>
        </w:rPr>
        <w:t xml:space="preserve">and year </w:t>
      </w:r>
      <w:r w:rsidRPr="008378AE">
        <w:rPr>
          <w:rFonts w:ascii="Arial" w:hAnsi="Arial" w:cs="Arial"/>
          <w:sz w:val="20"/>
          <w:szCs w:val="20"/>
        </w:rPr>
        <w:t xml:space="preserve">ended </w:t>
      </w:r>
      <w:r w:rsidR="004C3EAA" w:rsidRPr="008378AE">
        <w:rPr>
          <w:rFonts w:ascii="Arial" w:hAnsi="Arial" w:cs="Arial"/>
          <w:sz w:val="20"/>
          <w:szCs w:val="20"/>
        </w:rPr>
        <w:t>December 31, 2020, respectively</w:t>
      </w:r>
      <w:r w:rsidRPr="008378AE">
        <w:rPr>
          <w:rFonts w:ascii="Arial" w:hAnsi="Arial" w:cs="Arial"/>
          <w:sz w:val="20"/>
          <w:szCs w:val="20"/>
        </w:rPr>
        <w:t>. This represents a</w:t>
      </w:r>
      <w:r w:rsidR="004961C5">
        <w:rPr>
          <w:rFonts w:ascii="Arial" w:hAnsi="Arial" w:cs="Arial"/>
          <w:sz w:val="20"/>
          <w:szCs w:val="20"/>
        </w:rPr>
        <w:t>n</w:t>
      </w:r>
      <w:r w:rsidRPr="008378AE">
        <w:rPr>
          <w:rFonts w:ascii="Arial" w:hAnsi="Arial" w:cs="Arial"/>
          <w:sz w:val="20"/>
          <w:szCs w:val="20"/>
        </w:rPr>
        <w:t xml:space="preserve"> </w:t>
      </w:r>
      <w:r w:rsidR="00892119" w:rsidRPr="008378AE">
        <w:rPr>
          <w:rFonts w:ascii="Arial" w:hAnsi="Arial" w:cs="Arial"/>
          <w:sz w:val="20"/>
          <w:szCs w:val="20"/>
        </w:rPr>
        <w:t>8</w:t>
      </w:r>
      <w:r w:rsidR="008378AE" w:rsidRPr="008378AE">
        <w:rPr>
          <w:rFonts w:ascii="Arial" w:hAnsi="Arial" w:cs="Arial"/>
          <w:sz w:val="20"/>
          <w:szCs w:val="20"/>
        </w:rPr>
        <w:t>5</w:t>
      </w:r>
      <w:r w:rsidRPr="008378AE">
        <w:rPr>
          <w:rFonts w:ascii="Arial" w:hAnsi="Arial" w:cs="Arial"/>
          <w:sz w:val="20"/>
          <w:szCs w:val="20"/>
        </w:rPr>
        <w:t>%</w:t>
      </w:r>
      <w:r w:rsidR="004C3EAA" w:rsidRPr="008378AE">
        <w:rPr>
          <w:rFonts w:ascii="Arial" w:hAnsi="Arial" w:cs="Arial"/>
          <w:sz w:val="20"/>
          <w:szCs w:val="20"/>
        </w:rPr>
        <w:t xml:space="preserve"> </w:t>
      </w:r>
      <w:r w:rsidR="004961C5">
        <w:rPr>
          <w:rFonts w:ascii="Arial" w:hAnsi="Arial" w:cs="Arial"/>
          <w:sz w:val="20"/>
          <w:szCs w:val="20"/>
        </w:rPr>
        <w:t xml:space="preserve">increase quarter over quarter </w:t>
      </w:r>
      <w:r w:rsidR="004C3EAA" w:rsidRPr="008378AE">
        <w:rPr>
          <w:rFonts w:ascii="Arial" w:hAnsi="Arial" w:cs="Arial"/>
          <w:sz w:val="20"/>
          <w:szCs w:val="20"/>
        </w:rPr>
        <w:t xml:space="preserve">and </w:t>
      </w:r>
      <w:r w:rsidR="004961C5">
        <w:rPr>
          <w:rFonts w:ascii="Arial" w:hAnsi="Arial" w:cs="Arial"/>
          <w:sz w:val="20"/>
          <w:szCs w:val="20"/>
        </w:rPr>
        <w:t xml:space="preserve">a </w:t>
      </w:r>
      <w:r w:rsidR="004C3EAA" w:rsidRPr="008378AE">
        <w:rPr>
          <w:rFonts w:ascii="Arial" w:hAnsi="Arial" w:cs="Arial"/>
          <w:sz w:val="20"/>
          <w:szCs w:val="20"/>
        </w:rPr>
        <w:t>4</w:t>
      </w:r>
      <w:r w:rsidR="008378AE" w:rsidRPr="008378AE">
        <w:rPr>
          <w:rFonts w:ascii="Arial" w:hAnsi="Arial" w:cs="Arial"/>
          <w:sz w:val="20"/>
          <w:szCs w:val="20"/>
        </w:rPr>
        <w:t>5</w:t>
      </w:r>
      <w:r w:rsidR="004C3EAA" w:rsidRPr="008378AE">
        <w:rPr>
          <w:rFonts w:ascii="Arial" w:hAnsi="Arial" w:cs="Arial"/>
          <w:sz w:val="20"/>
          <w:szCs w:val="20"/>
        </w:rPr>
        <w:t>%</w:t>
      </w:r>
      <w:r w:rsidRPr="008378AE">
        <w:rPr>
          <w:rFonts w:ascii="Arial" w:hAnsi="Arial" w:cs="Arial"/>
          <w:sz w:val="20"/>
          <w:szCs w:val="20"/>
        </w:rPr>
        <w:t xml:space="preserve"> increase</w:t>
      </w:r>
      <w:r w:rsidR="004961C5">
        <w:rPr>
          <w:rFonts w:ascii="Arial" w:hAnsi="Arial" w:cs="Arial"/>
          <w:sz w:val="20"/>
          <w:szCs w:val="20"/>
        </w:rPr>
        <w:t xml:space="preserve"> year over year</w:t>
      </w:r>
      <w:r w:rsidRPr="008378AE">
        <w:rPr>
          <w:rFonts w:ascii="Arial" w:hAnsi="Arial" w:cs="Arial"/>
          <w:sz w:val="20"/>
          <w:szCs w:val="20"/>
        </w:rPr>
        <w:t xml:space="preserve"> as show</w:t>
      </w:r>
      <w:r w:rsidR="004961C5">
        <w:rPr>
          <w:rFonts w:ascii="Arial" w:hAnsi="Arial" w:cs="Arial"/>
          <w:sz w:val="20"/>
          <w:szCs w:val="20"/>
        </w:rPr>
        <w:t>n</w:t>
      </w:r>
      <w:r w:rsidRPr="008378AE">
        <w:rPr>
          <w:rFonts w:ascii="Arial" w:hAnsi="Arial" w:cs="Arial"/>
          <w:sz w:val="20"/>
          <w:szCs w:val="20"/>
        </w:rPr>
        <w:t xml:space="preserve"> in the </w:t>
      </w:r>
      <w:r w:rsidR="004961C5">
        <w:rPr>
          <w:rFonts w:ascii="Arial" w:hAnsi="Arial" w:cs="Arial"/>
          <w:sz w:val="20"/>
          <w:szCs w:val="20"/>
        </w:rPr>
        <w:t>chart</w:t>
      </w:r>
      <w:r w:rsidRPr="008378AE">
        <w:rPr>
          <w:rFonts w:ascii="Arial" w:hAnsi="Arial" w:cs="Arial"/>
          <w:sz w:val="20"/>
          <w:szCs w:val="20"/>
        </w:rPr>
        <w:t xml:space="preserve"> below. </w:t>
      </w:r>
      <w:r w:rsidR="0074683A" w:rsidRPr="008378AE">
        <w:rPr>
          <w:rFonts w:ascii="Arial" w:hAnsi="Arial" w:cs="Arial"/>
          <w:sz w:val="20"/>
          <w:szCs w:val="20"/>
        </w:rPr>
        <w:t>Gross margin has increased quarter over quarter</w:t>
      </w:r>
      <w:r w:rsidR="004C3EAA" w:rsidRPr="008378AE">
        <w:rPr>
          <w:rFonts w:ascii="Arial" w:hAnsi="Arial" w:cs="Arial"/>
          <w:sz w:val="20"/>
          <w:szCs w:val="20"/>
        </w:rPr>
        <w:t xml:space="preserve"> and year over year</w:t>
      </w:r>
      <w:r w:rsidR="0074683A" w:rsidRPr="008378AE">
        <w:rPr>
          <w:rFonts w:ascii="Arial" w:hAnsi="Arial" w:cs="Arial"/>
          <w:sz w:val="20"/>
          <w:szCs w:val="20"/>
        </w:rPr>
        <w:t xml:space="preserve"> due to the automated equipment that was purchased earlier in fiscal 2021 which is leading to greater production output and </w:t>
      </w:r>
      <w:proofErr w:type="spellStart"/>
      <w:r w:rsidR="0074683A" w:rsidRPr="008378AE">
        <w:rPr>
          <w:rFonts w:ascii="Arial" w:hAnsi="Arial" w:cs="Arial"/>
          <w:sz w:val="20"/>
          <w:szCs w:val="20"/>
        </w:rPr>
        <w:t>labour</w:t>
      </w:r>
      <w:proofErr w:type="spellEnd"/>
      <w:r w:rsidR="0074683A" w:rsidRPr="008378AE">
        <w:rPr>
          <w:rFonts w:ascii="Arial" w:hAnsi="Arial" w:cs="Arial"/>
          <w:sz w:val="20"/>
          <w:szCs w:val="20"/>
        </w:rPr>
        <w:t xml:space="preserve"> efficiencies at the location where the equipment is in use. During the three months ended </w:t>
      </w:r>
      <w:r w:rsidR="004C3EAA" w:rsidRPr="008378AE">
        <w:rPr>
          <w:rFonts w:ascii="Arial" w:hAnsi="Arial" w:cs="Arial"/>
          <w:sz w:val="20"/>
          <w:szCs w:val="20"/>
        </w:rPr>
        <w:t>December 31</w:t>
      </w:r>
      <w:r w:rsidR="0074683A" w:rsidRPr="008378AE">
        <w:rPr>
          <w:rFonts w:ascii="Arial" w:hAnsi="Arial" w:cs="Arial"/>
          <w:sz w:val="20"/>
          <w:szCs w:val="20"/>
        </w:rPr>
        <w:t xml:space="preserve">, 2021, some raw material prices </w:t>
      </w:r>
      <w:r w:rsidR="0074683A" w:rsidRPr="008378AE">
        <w:rPr>
          <w:rFonts w:ascii="Arial" w:hAnsi="Arial" w:cs="Arial"/>
          <w:sz w:val="20"/>
          <w:szCs w:val="20"/>
        </w:rPr>
        <w:lastRenderedPageBreak/>
        <w:t xml:space="preserve">started to drop significantly while several jobs and contracts were still priced at higher material cost. </w:t>
      </w:r>
      <w:r w:rsidR="00FA72E4" w:rsidRPr="00712271">
        <w:rPr>
          <w:rFonts w:ascii="Arial" w:hAnsi="Arial" w:cs="Arial"/>
          <w:sz w:val="20"/>
          <w:szCs w:val="20"/>
        </w:rPr>
        <w:t xml:space="preserve">The average lumber cost per invoices for the three months ended December 31, </w:t>
      </w:r>
      <w:proofErr w:type="gramStart"/>
      <w:r w:rsidR="00FA72E4" w:rsidRPr="00712271">
        <w:rPr>
          <w:rFonts w:ascii="Arial" w:hAnsi="Arial" w:cs="Arial"/>
          <w:sz w:val="20"/>
          <w:szCs w:val="20"/>
        </w:rPr>
        <w:t>2021</w:t>
      </w:r>
      <w:proofErr w:type="gramEnd"/>
      <w:r w:rsidR="00FA72E4" w:rsidRPr="00712271">
        <w:rPr>
          <w:rFonts w:ascii="Arial" w:hAnsi="Arial" w:cs="Arial"/>
          <w:sz w:val="20"/>
          <w:szCs w:val="20"/>
        </w:rPr>
        <w:t xml:space="preserve"> was from 5% to 26% lower compared to the three months ended December 31, 2020. This varied by location depending on inventory levels compared to current </w:t>
      </w:r>
      <w:r w:rsidR="00FA72E4" w:rsidRPr="001A715C">
        <w:rPr>
          <w:rFonts w:ascii="Arial" w:hAnsi="Arial" w:cs="Arial"/>
          <w:sz w:val="20"/>
          <w:szCs w:val="20"/>
        </w:rPr>
        <w:t>commodity pricing.</w:t>
      </w:r>
      <w:r w:rsidR="00FA72E4">
        <w:rPr>
          <w:rFonts w:ascii="Arial" w:hAnsi="Arial" w:cs="Arial"/>
          <w:sz w:val="20"/>
          <w:szCs w:val="20"/>
        </w:rPr>
        <w:t xml:space="preserve"> </w:t>
      </w:r>
      <w:r w:rsidR="0074683A" w:rsidRPr="008378AE">
        <w:rPr>
          <w:rFonts w:ascii="Arial" w:hAnsi="Arial" w:cs="Arial"/>
          <w:sz w:val="20"/>
          <w:szCs w:val="20"/>
        </w:rPr>
        <w:t xml:space="preserve">This helped offset the impacts the Company faced while those material prices were rising </w:t>
      </w:r>
      <w:proofErr w:type="gramStart"/>
      <w:r w:rsidR="0074683A" w:rsidRPr="008378AE">
        <w:rPr>
          <w:rFonts w:ascii="Arial" w:hAnsi="Arial" w:cs="Arial"/>
          <w:sz w:val="20"/>
          <w:szCs w:val="20"/>
        </w:rPr>
        <w:t>steeply</w:t>
      </w:r>
      <w:proofErr w:type="gramEnd"/>
      <w:r w:rsidR="0074683A" w:rsidRPr="008378AE">
        <w:rPr>
          <w:rFonts w:ascii="Arial" w:hAnsi="Arial" w:cs="Arial"/>
          <w:sz w:val="20"/>
          <w:szCs w:val="20"/>
        </w:rPr>
        <w:t xml:space="preserve"> and some pricing could not be adjusted where contracts were signed.</w:t>
      </w:r>
      <w:r w:rsidR="004C3EAA" w:rsidRPr="008378AE">
        <w:rPr>
          <w:rFonts w:ascii="Arial" w:hAnsi="Arial" w:cs="Arial"/>
          <w:sz w:val="20"/>
          <w:szCs w:val="20"/>
        </w:rPr>
        <w:t xml:space="preserve"> The Company also anticipated this lumber</w:t>
      </w:r>
      <w:r w:rsidR="00AD73F1">
        <w:rPr>
          <w:rFonts w:ascii="Arial" w:hAnsi="Arial" w:cs="Arial"/>
          <w:sz w:val="20"/>
          <w:szCs w:val="20"/>
        </w:rPr>
        <w:t xml:space="preserve"> price</w:t>
      </w:r>
      <w:r w:rsidR="004C3EAA" w:rsidRPr="008378AE">
        <w:rPr>
          <w:rFonts w:ascii="Arial" w:hAnsi="Arial" w:cs="Arial"/>
          <w:sz w:val="20"/>
          <w:szCs w:val="20"/>
        </w:rPr>
        <w:t xml:space="preserve"> decrease would not be long-lasting and</w:t>
      </w:r>
      <w:r w:rsidR="00AD73F1">
        <w:rPr>
          <w:rFonts w:ascii="Arial" w:hAnsi="Arial" w:cs="Arial"/>
          <w:sz w:val="20"/>
          <w:szCs w:val="20"/>
        </w:rPr>
        <w:t>,</w:t>
      </w:r>
      <w:r w:rsidR="004C3EAA" w:rsidRPr="008378AE">
        <w:rPr>
          <w:rFonts w:ascii="Arial" w:hAnsi="Arial" w:cs="Arial"/>
          <w:sz w:val="20"/>
          <w:szCs w:val="20"/>
        </w:rPr>
        <w:t xml:space="preserve"> </w:t>
      </w:r>
      <w:r w:rsidR="00892119" w:rsidRPr="008378AE">
        <w:rPr>
          <w:rFonts w:ascii="Arial" w:hAnsi="Arial" w:cs="Arial"/>
          <w:sz w:val="20"/>
          <w:szCs w:val="20"/>
        </w:rPr>
        <w:t xml:space="preserve">since the </w:t>
      </w:r>
      <w:proofErr w:type="gramStart"/>
      <w:r w:rsidR="00AD73F1">
        <w:rPr>
          <w:rFonts w:ascii="Arial" w:hAnsi="Arial" w:cs="Arial"/>
          <w:sz w:val="20"/>
          <w:szCs w:val="20"/>
        </w:rPr>
        <w:t xml:space="preserve">2021 </w:t>
      </w:r>
      <w:r w:rsidR="00892119" w:rsidRPr="008378AE">
        <w:rPr>
          <w:rFonts w:ascii="Arial" w:hAnsi="Arial" w:cs="Arial"/>
          <w:sz w:val="20"/>
          <w:szCs w:val="20"/>
        </w:rPr>
        <w:t>year</w:t>
      </w:r>
      <w:proofErr w:type="gramEnd"/>
      <w:r w:rsidR="00892119" w:rsidRPr="008378AE">
        <w:rPr>
          <w:rFonts w:ascii="Arial" w:hAnsi="Arial" w:cs="Arial"/>
          <w:sz w:val="20"/>
          <w:szCs w:val="20"/>
        </w:rPr>
        <w:t xml:space="preserve"> end</w:t>
      </w:r>
      <w:r w:rsidR="00AD73F1">
        <w:rPr>
          <w:rFonts w:ascii="Arial" w:hAnsi="Arial" w:cs="Arial"/>
          <w:sz w:val="20"/>
          <w:szCs w:val="20"/>
        </w:rPr>
        <w:t>,</w:t>
      </w:r>
      <w:r w:rsidR="00892119" w:rsidRPr="008378AE">
        <w:rPr>
          <w:rFonts w:ascii="Arial" w:hAnsi="Arial" w:cs="Arial"/>
          <w:sz w:val="20"/>
          <w:szCs w:val="20"/>
        </w:rPr>
        <w:t xml:space="preserve"> lumber prices have significantly increased again.</w:t>
      </w:r>
    </w:p>
    <w:p w14:paraId="215CAA14" w14:textId="210BB8EE" w:rsidR="009A6446" w:rsidRPr="00AD73F1" w:rsidRDefault="009A6446" w:rsidP="00AD73F1">
      <w:pPr>
        <w:keepNext/>
        <w:adjustRightInd w:val="0"/>
        <w:jc w:val="both"/>
        <w:rPr>
          <w:rFonts w:ascii="Arial" w:hAnsi="Arial" w:cs="Arial"/>
          <w:sz w:val="20"/>
          <w:szCs w:val="20"/>
        </w:rPr>
      </w:pPr>
    </w:p>
    <w:p w14:paraId="0E5ECC20" w14:textId="231C1506" w:rsidR="00493327" w:rsidRPr="008378AE" w:rsidRDefault="008378AE" w:rsidP="001B13B8">
      <w:pPr>
        <w:keepNext/>
        <w:adjustRightInd w:val="0"/>
        <w:jc w:val="center"/>
        <w:rPr>
          <w:rFonts w:ascii="Arial" w:hAnsi="Arial" w:cs="Arial"/>
          <w:sz w:val="20"/>
          <w:szCs w:val="20"/>
        </w:rPr>
      </w:pPr>
      <w:r w:rsidRPr="008378AE">
        <w:rPr>
          <w:noProof/>
        </w:rPr>
        <w:drawing>
          <wp:inline distT="0" distB="0" distL="0" distR="0" wp14:anchorId="0FA0FAB7" wp14:editId="18A59399">
            <wp:extent cx="4899660" cy="876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99660" cy="876300"/>
                    </a:xfrm>
                    <a:prstGeom prst="rect">
                      <a:avLst/>
                    </a:prstGeom>
                    <a:noFill/>
                    <a:ln>
                      <a:noFill/>
                    </a:ln>
                  </pic:spPr>
                </pic:pic>
              </a:graphicData>
            </a:graphic>
          </wp:inline>
        </w:drawing>
      </w:r>
    </w:p>
    <w:p w14:paraId="65C99E3F" w14:textId="77777777" w:rsidR="00493327" w:rsidRPr="008378AE" w:rsidRDefault="00493327" w:rsidP="00493327">
      <w:pPr>
        <w:keepNext/>
        <w:adjustRightInd w:val="0"/>
        <w:ind w:left="2127"/>
        <w:jc w:val="both"/>
        <w:rPr>
          <w:rFonts w:ascii="Arial" w:hAnsi="Arial" w:cs="Arial"/>
          <w:sz w:val="20"/>
          <w:szCs w:val="20"/>
        </w:rPr>
      </w:pPr>
    </w:p>
    <w:p w14:paraId="02C8C0B1" w14:textId="77777777" w:rsidR="00493327" w:rsidRPr="005A79B5" w:rsidRDefault="00493327" w:rsidP="00493327">
      <w:pPr>
        <w:keepNext/>
        <w:jc w:val="both"/>
        <w:rPr>
          <w:rFonts w:ascii="Arial" w:hAnsi="Arial" w:cs="Arial"/>
          <w:sz w:val="20"/>
          <w:szCs w:val="20"/>
        </w:rPr>
      </w:pPr>
      <w:r w:rsidRPr="005A79B5">
        <w:rPr>
          <w:rFonts w:ascii="Arial" w:hAnsi="Arial" w:cs="Arial"/>
          <w:sz w:val="20"/>
          <w:szCs w:val="20"/>
        </w:rPr>
        <w:t>Net Income:</w:t>
      </w:r>
    </w:p>
    <w:p w14:paraId="6A94E5B2" w14:textId="3596C092" w:rsidR="00493327" w:rsidRPr="005A79B5" w:rsidRDefault="00493327" w:rsidP="00493327">
      <w:pPr>
        <w:pStyle w:val="ListParagraph"/>
        <w:keepNext/>
        <w:numPr>
          <w:ilvl w:val="0"/>
          <w:numId w:val="29"/>
        </w:numPr>
        <w:adjustRightInd w:val="0"/>
        <w:jc w:val="both"/>
        <w:rPr>
          <w:rFonts w:ascii="Arial" w:hAnsi="Arial" w:cs="Arial"/>
          <w:sz w:val="20"/>
          <w:szCs w:val="20"/>
        </w:rPr>
      </w:pPr>
      <w:r w:rsidRPr="005A79B5">
        <w:rPr>
          <w:rFonts w:ascii="Arial" w:hAnsi="Arial" w:cs="Arial"/>
          <w:sz w:val="20"/>
          <w:szCs w:val="20"/>
        </w:rPr>
        <w:t>Net income was $</w:t>
      </w:r>
      <w:r w:rsidR="008378AE" w:rsidRPr="005A79B5">
        <w:rPr>
          <w:rFonts w:ascii="Arial" w:hAnsi="Arial" w:cs="Arial"/>
          <w:sz w:val="20"/>
          <w:szCs w:val="20"/>
        </w:rPr>
        <w:t>6,</w:t>
      </w:r>
      <w:r w:rsidR="009761C1">
        <w:rPr>
          <w:rFonts w:ascii="Arial" w:hAnsi="Arial" w:cs="Arial"/>
          <w:sz w:val="20"/>
          <w:szCs w:val="20"/>
        </w:rPr>
        <w:t>954,348</w:t>
      </w:r>
      <w:r w:rsidRPr="005A79B5">
        <w:rPr>
          <w:rFonts w:ascii="Arial" w:hAnsi="Arial" w:cs="Arial"/>
          <w:sz w:val="20"/>
          <w:szCs w:val="20"/>
        </w:rPr>
        <w:t xml:space="preserve"> for the </w:t>
      </w:r>
      <w:r w:rsidR="008378AE" w:rsidRPr="005A79B5">
        <w:rPr>
          <w:rFonts w:ascii="Arial" w:hAnsi="Arial" w:cs="Arial"/>
          <w:sz w:val="20"/>
          <w:szCs w:val="20"/>
        </w:rPr>
        <w:t>year</w:t>
      </w:r>
      <w:r w:rsidRPr="005A79B5">
        <w:rPr>
          <w:rFonts w:ascii="Arial" w:hAnsi="Arial" w:cs="Arial"/>
          <w:sz w:val="20"/>
          <w:szCs w:val="20"/>
        </w:rPr>
        <w:t xml:space="preserve"> ended </w:t>
      </w:r>
      <w:r w:rsidR="008378AE" w:rsidRPr="005A79B5">
        <w:rPr>
          <w:rFonts w:ascii="Arial" w:hAnsi="Arial" w:cs="Arial"/>
          <w:sz w:val="20"/>
          <w:szCs w:val="20"/>
        </w:rPr>
        <w:t>December 31</w:t>
      </w:r>
      <w:r w:rsidRPr="005A79B5">
        <w:rPr>
          <w:rFonts w:ascii="Arial" w:hAnsi="Arial" w:cs="Arial"/>
          <w:sz w:val="20"/>
          <w:szCs w:val="20"/>
        </w:rPr>
        <w:t>, 2021 compared to net income of $</w:t>
      </w:r>
      <w:r w:rsidR="008378AE" w:rsidRPr="005A79B5">
        <w:rPr>
          <w:rFonts w:ascii="Arial" w:hAnsi="Arial" w:cs="Arial"/>
          <w:sz w:val="20"/>
          <w:szCs w:val="20"/>
        </w:rPr>
        <w:t>228,986</w:t>
      </w:r>
      <w:r w:rsidRPr="005A79B5">
        <w:rPr>
          <w:rFonts w:ascii="Arial" w:hAnsi="Arial" w:cs="Arial"/>
          <w:sz w:val="20"/>
          <w:szCs w:val="20"/>
        </w:rPr>
        <w:t xml:space="preserve"> for the </w:t>
      </w:r>
      <w:r w:rsidR="008378AE" w:rsidRPr="005A79B5">
        <w:rPr>
          <w:rFonts w:ascii="Arial" w:hAnsi="Arial" w:cs="Arial"/>
          <w:sz w:val="20"/>
          <w:szCs w:val="20"/>
        </w:rPr>
        <w:t>year</w:t>
      </w:r>
      <w:r w:rsidRPr="005A79B5">
        <w:rPr>
          <w:rFonts w:ascii="Arial" w:hAnsi="Arial" w:cs="Arial"/>
          <w:sz w:val="20"/>
          <w:szCs w:val="20"/>
        </w:rPr>
        <w:t xml:space="preserve"> ended </w:t>
      </w:r>
      <w:r w:rsidR="008378AE" w:rsidRPr="005A79B5">
        <w:rPr>
          <w:rFonts w:ascii="Arial" w:hAnsi="Arial" w:cs="Arial"/>
          <w:sz w:val="20"/>
          <w:szCs w:val="20"/>
        </w:rPr>
        <w:t>December 31</w:t>
      </w:r>
      <w:r w:rsidRPr="005A79B5">
        <w:rPr>
          <w:rFonts w:ascii="Arial" w:hAnsi="Arial" w:cs="Arial"/>
          <w:sz w:val="20"/>
          <w:szCs w:val="20"/>
        </w:rPr>
        <w:t>, 2020</w:t>
      </w:r>
      <w:r w:rsidR="00AD73F1">
        <w:rPr>
          <w:rFonts w:ascii="Arial" w:hAnsi="Arial" w:cs="Arial"/>
          <w:sz w:val="20"/>
          <w:szCs w:val="20"/>
        </w:rPr>
        <w:t xml:space="preserve">, an </w:t>
      </w:r>
      <w:proofErr w:type="gramStart"/>
      <w:r w:rsidR="00AD73F1">
        <w:rPr>
          <w:rFonts w:ascii="Arial" w:hAnsi="Arial" w:cs="Arial"/>
          <w:sz w:val="20"/>
          <w:szCs w:val="20"/>
        </w:rPr>
        <w:t xml:space="preserve">increase </w:t>
      </w:r>
      <w:r w:rsidRPr="005A79B5">
        <w:rPr>
          <w:rFonts w:ascii="Arial" w:hAnsi="Arial" w:cs="Arial"/>
          <w:sz w:val="20"/>
          <w:szCs w:val="20"/>
        </w:rPr>
        <w:t xml:space="preserve"> of</w:t>
      </w:r>
      <w:proofErr w:type="gramEnd"/>
      <w:r w:rsidRPr="005A79B5">
        <w:rPr>
          <w:rFonts w:ascii="Arial" w:hAnsi="Arial" w:cs="Arial"/>
          <w:sz w:val="20"/>
          <w:szCs w:val="20"/>
        </w:rPr>
        <w:t xml:space="preserve"> $</w:t>
      </w:r>
      <w:r w:rsidR="008378AE" w:rsidRPr="005A79B5">
        <w:rPr>
          <w:rFonts w:ascii="Arial" w:hAnsi="Arial" w:cs="Arial"/>
          <w:sz w:val="20"/>
          <w:szCs w:val="20"/>
        </w:rPr>
        <w:t>6,</w:t>
      </w:r>
      <w:r w:rsidR="009761C1">
        <w:rPr>
          <w:rFonts w:ascii="Arial" w:hAnsi="Arial" w:cs="Arial"/>
          <w:sz w:val="20"/>
          <w:szCs w:val="20"/>
        </w:rPr>
        <w:t>725,362</w:t>
      </w:r>
      <w:r w:rsidR="00AD73F1">
        <w:rPr>
          <w:rFonts w:ascii="Arial" w:hAnsi="Arial" w:cs="Arial"/>
          <w:sz w:val="20"/>
          <w:szCs w:val="20"/>
        </w:rPr>
        <w:t>.</w:t>
      </w:r>
      <w:r w:rsidRPr="005A79B5">
        <w:rPr>
          <w:rFonts w:ascii="Arial" w:hAnsi="Arial" w:cs="Arial"/>
          <w:sz w:val="20"/>
          <w:szCs w:val="20"/>
        </w:rPr>
        <w:t xml:space="preserve"> </w:t>
      </w:r>
      <w:r w:rsidR="00AD73F1">
        <w:rPr>
          <w:rFonts w:ascii="Arial" w:hAnsi="Arial" w:cs="Arial"/>
          <w:sz w:val="20"/>
          <w:szCs w:val="20"/>
        </w:rPr>
        <w:t xml:space="preserve">This increase was primarily </w:t>
      </w:r>
      <w:r w:rsidRPr="005A79B5">
        <w:rPr>
          <w:rFonts w:ascii="Arial" w:hAnsi="Arial" w:cs="Arial"/>
          <w:sz w:val="20"/>
          <w:szCs w:val="20"/>
        </w:rPr>
        <w:t>due to the significant increase in sales, improvement in gross margin, and reduced operating expenses.</w:t>
      </w:r>
    </w:p>
    <w:p w14:paraId="17545010" w14:textId="73DEBE12" w:rsidR="00BE6855" w:rsidRPr="00271B27" w:rsidRDefault="00BE6855" w:rsidP="009F514F">
      <w:pPr>
        <w:keepNext/>
        <w:jc w:val="center"/>
        <w:rPr>
          <w:rFonts w:ascii="Arial" w:hAnsi="Arial" w:cs="Arial"/>
          <w:sz w:val="20"/>
          <w:szCs w:val="20"/>
          <w:highlight w:val="yellow"/>
        </w:rPr>
        <w:sectPr w:rsidR="00BE6855" w:rsidRPr="00271B27" w:rsidSect="006856FA">
          <w:type w:val="continuous"/>
          <w:pgSz w:w="12240" w:h="15840"/>
          <w:pgMar w:top="1440" w:right="1440" w:bottom="1440" w:left="1440" w:header="907" w:footer="523" w:gutter="0"/>
          <w:cols w:space="720"/>
          <w:docGrid w:linePitch="299"/>
        </w:sectPr>
      </w:pPr>
    </w:p>
    <w:p w14:paraId="6FC31413" w14:textId="656AB2AF" w:rsidR="003231C0" w:rsidRPr="00271B27" w:rsidRDefault="003231C0" w:rsidP="0075420D">
      <w:pPr>
        <w:keepNext/>
        <w:jc w:val="both"/>
        <w:rPr>
          <w:rFonts w:ascii="Arial Nova" w:hAnsi="Arial Nova" w:cs="Arial"/>
          <w:sz w:val="20"/>
          <w:szCs w:val="20"/>
          <w:highlight w:val="yellow"/>
        </w:rPr>
        <w:sectPr w:rsidR="003231C0" w:rsidRPr="00271B27" w:rsidSect="003231C0">
          <w:type w:val="continuous"/>
          <w:pgSz w:w="12240" w:h="15840"/>
          <w:pgMar w:top="1440" w:right="1440" w:bottom="1440" w:left="1440" w:header="907" w:footer="523" w:gutter="0"/>
          <w:cols w:space="720"/>
          <w:docGrid w:linePitch="299"/>
        </w:sectPr>
      </w:pPr>
    </w:p>
    <w:p w14:paraId="31D25958" w14:textId="4A03609C" w:rsidR="00075A50" w:rsidRPr="00380803" w:rsidRDefault="009761C1" w:rsidP="00380803">
      <w:pPr>
        <w:keepNext/>
        <w:jc w:val="center"/>
        <w:rPr>
          <w:rFonts w:ascii="Arial" w:hAnsi="Arial" w:cs="Arial"/>
          <w:b/>
          <w:sz w:val="20"/>
          <w:szCs w:val="20"/>
        </w:rPr>
      </w:pPr>
      <w:r w:rsidRPr="009761C1">
        <w:rPr>
          <w:noProof/>
        </w:rPr>
        <w:drawing>
          <wp:inline distT="0" distB="0" distL="0" distR="0" wp14:anchorId="42019238" wp14:editId="7A0918A5">
            <wp:extent cx="4655820" cy="426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55820" cy="4267200"/>
                    </a:xfrm>
                    <a:prstGeom prst="rect">
                      <a:avLst/>
                    </a:prstGeom>
                    <a:noFill/>
                    <a:ln>
                      <a:noFill/>
                    </a:ln>
                  </pic:spPr>
                </pic:pic>
              </a:graphicData>
            </a:graphic>
          </wp:inline>
        </w:drawing>
      </w:r>
    </w:p>
    <w:p w14:paraId="17B44708" w14:textId="77777777" w:rsidR="005203C7" w:rsidRPr="00380803" w:rsidRDefault="005203C7" w:rsidP="0075420D">
      <w:pPr>
        <w:keepNext/>
        <w:rPr>
          <w:rFonts w:ascii="Arial" w:hAnsi="Arial" w:cs="Arial"/>
          <w:b/>
          <w:sz w:val="20"/>
          <w:szCs w:val="20"/>
        </w:rPr>
      </w:pPr>
    </w:p>
    <w:p w14:paraId="2D680333" w14:textId="289C8558" w:rsidR="0075420D" w:rsidRPr="00380803" w:rsidRDefault="0075420D" w:rsidP="0075420D">
      <w:pPr>
        <w:keepNext/>
        <w:rPr>
          <w:rFonts w:ascii="Arial" w:hAnsi="Arial" w:cs="Arial"/>
          <w:b/>
          <w:sz w:val="20"/>
          <w:szCs w:val="20"/>
        </w:rPr>
      </w:pPr>
      <w:r w:rsidRPr="00380803">
        <w:rPr>
          <w:rFonts w:ascii="Arial" w:hAnsi="Arial" w:cs="Arial"/>
          <w:b/>
          <w:sz w:val="20"/>
          <w:szCs w:val="20"/>
        </w:rPr>
        <w:t>Summary of Quarterly Financial Results</w:t>
      </w:r>
    </w:p>
    <w:p w14:paraId="0A4F85A3" w14:textId="77777777" w:rsidR="0075420D" w:rsidRPr="00380803" w:rsidRDefault="0075420D" w:rsidP="0075420D">
      <w:pPr>
        <w:keepNext/>
        <w:rPr>
          <w:rFonts w:ascii="Arial" w:hAnsi="Arial" w:cs="Arial"/>
          <w:sz w:val="20"/>
          <w:szCs w:val="20"/>
        </w:rPr>
      </w:pPr>
    </w:p>
    <w:p w14:paraId="00F5B853" w14:textId="77777777" w:rsidR="00976CC5" w:rsidRPr="00380803" w:rsidRDefault="00976CC5" w:rsidP="0075420D">
      <w:pPr>
        <w:keepNext/>
        <w:jc w:val="both"/>
        <w:rPr>
          <w:rFonts w:ascii="Arial" w:hAnsi="Arial" w:cs="Arial"/>
          <w:sz w:val="20"/>
          <w:szCs w:val="20"/>
          <w:lang w:val="en-GB"/>
        </w:rPr>
        <w:sectPr w:rsidR="00976CC5" w:rsidRPr="00380803" w:rsidSect="00BC2D6F">
          <w:type w:val="continuous"/>
          <w:pgSz w:w="12240" w:h="15840"/>
          <w:pgMar w:top="1440" w:right="1440" w:bottom="1440" w:left="1440" w:header="907" w:footer="523" w:gutter="0"/>
          <w:cols w:space="720"/>
          <w:docGrid w:linePitch="299"/>
        </w:sectPr>
      </w:pPr>
    </w:p>
    <w:p w14:paraId="603896E3" w14:textId="6673BBB1" w:rsidR="00976CC5" w:rsidRPr="00380803" w:rsidRDefault="0075420D" w:rsidP="0075420D">
      <w:pPr>
        <w:keepNext/>
        <w:jc w:val="both"/>
        <w:rPr>
          <w:rFonts w:ascii="Arial" w:hAnsi="Arial" w:cs="Arial"/>
          <w:sz w:val="20"/>
          <w:szCs w:val="20"/>
        </w:rPr>
      </w:pPr>
      <w:r w:rsidRPr="00380803">
        <w:rPr>
          <w:rFonts w:ascii="Arial" w:hAnsi="Arial" w:cs="Arial"/>
          <w:sz w:val="20"/>
          <w:szCs w:val="20"/>
          <w:lang w:val="en-GB"/>
        </w:rPr>
        <w:t xml:space="preserve">The following table sets forth selected financial information from the Company’s quarterly financial statements for each of the </w:t>
      </w:r>
      <w:r w:rsidR="00B44E9D" w:rsidRPr="00380803">
        <w:rPr>
          <w:rFonts w:ascii="Arial" w:hAnsi="Arial" w:cs="Arial"/>
          <w:sz w:val="20"/>
          <w:szCs w:val="20"/>
          <w:lang w:val="en-GB"/>
        </w:rPr>
        <w:t xml:space="preserve">eight most recently </w:t>
      </w:r>
      <w:r w:rsidRPr="00380803">
        <w:rPr>
          <w:rFonts w:ascii="Arial" w:hAnsi="Arial" w:cs="Arial"/>
          <w:sz w:val="20"/>
          <w:szCs w:val="20"/>
          <w:lang w:val="en-GB"/>
        </w:rPr>
        <w:t>completed quarters</w:t>
      </w:r>
      <w:r w:rsidR="00B44E9D" w:rsidRPr="00380803">
        <w:rPr>
          <w:rFonts w:ascii="Arial" w:hAnsi="Arial" w:cs="Arial"/>
          <w:sz w:val="20"/>
          <w:szCs w:val="20"/>
          <w:lang w:val="en-GB"/>
        </w:rPr>
        <w:t>.</w:t>
      </w:r>
      <w:r w:rsidR="001C3633" w:rsidRPr="00380803">
        <w:rPr>
          <w:rFonts w:ascii="Arial" w:hAnsi="Arial" w:cs="Arial"/>
          <w:sz w:val="20"/>
          <w:szCs w:val="20"/>
          <w:lang w:val="en-GB"/>
        </w:rPr>
        <w:t xml:space="preserve"> </w:t>
      </w:r>
      <w:r w:rsidR="001C3633" w:rsidRPr="00380803">
        <w:rPr>
          <w:rFonts w:ascii="Arial" w:hAnsi="Arial" w:cs="Arial"/>
          <w:sz w:val="20"/>
          <w:szCs w:val="20"/>
        </w:rPr>
        <w:t xml:space="preserve">See below under Results of Operations </w:t>
      </w:r>
      <w:r w:rsidR="001C3633" w:rsidRPr="00380803">
        <w:rPr>
          <w:rFonts w:ascii="Arial" w:hAnsi="Arial" w:cs="Arial"/>
          <w:sz w:val="20"/>
          <w:szCs w:val="20"/>
        </w:rPr>
        <w:lastRenderedPageBreak/>
        <w:t xml:space="preserve">for more details. </w:t>
      </w:r>
    </w:p>
    <w:p w14:paraId="10ADBA3A" w14:textId="77777777" w:rsidR="00823845" w:rsidRPr="00380803" w:rsidRDefault="00823845" w:rsidP="0075420D">
      <w:pPr>
        <w:keepNext/>
        <w:jc w:val="both"/>
        <w:rPr>
          <w:rFonts w:ascii="Arial" w:hAnsi="Arial" w:cs="Arial"/>
          <w:sz w:val="20"/>
          <w:szCs w:val="20"/>
        </w:rPr>
      </w:pPr>
    </w:p>
    <w:p w14:paraId="5ABB6E2C" w14:textId="7D09AF36" w:rsidR="0075420D" w:rsidRPr="00380803" w:rsidRDefault="009761C1" w:rsidP="00823845">
      <w:pPr>
        <w:keepNext/>
        <w:jc w:val="both"/>
        <w:rPr>
          <w:rFonts w:ascii="Arial" w:hAnsi="Arial" w:cs="Arial"/>
          <w:sz w:val="20"/>
          <w:szCs w:val="20"/>
          <w:lang w:val="en-GB"/>
        </w:rPr>
      </w:pPr>
      <w:r w:rsidRPr="009761C1">
        <w:rPr>
          <w:noProof/>
        </w:rPr>
        <w:drawing>
          <wp:inline distT="0" distB="0" distL="0" distR="0" wp14:anchorId="030490F1" wp14:editId="7A690328">
            <wp:extent cx="6016625" cy="790575"/>
            <wp:effectExtent l="0" t="0" r="317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16625" cy="790575"/>
                    </a:xfrm>
                    <a:prstGeom prst="rect">
                      <a:avLst/>
                    </a:prstGeom>
                    <a:noFill/>
                    <a:ln>
                      <a:noFill/>
                    </a:ln>
                  </pic:spPr>
                </pic:pic>
              </a:graphicData>
            </a:graphic>
          </wp:inline>
        </w:drawing>
      </w:r>
    </w:p>
    <w:p w14:paraId="2C88B987" w14:textId="77777777" w:rsidR="009325FB" w:rsidRPr="00271B27" w:rsidRDefault="009325FB" w:rsidP="00A415A3">
      <w:pPr>
        <w:keepNext/>
        <w:adjustRightInd w:val="0"/>
        <w:jc w:val="both"/>
        <w:rPr>
          <w:rFonts w:ascii="Arial" w:hAnsi="Arial" w:cs="Arial"/>
          <w:b/>
          <w:bCs/>
          <w:noProof/>
          <w:sz w:val="20"/>
          <w:szCs w:val="20"/>
          <w:highlight w:val="yellow"/>
        </w:rPr>
      </w:pPr>
    </w:p>
    <w:p w14:paraId="37EF894F" w14:textId="1065D3FB" w:rsidR="00B44E9D" w:rsidRPr="00A72244" w:rsidRDefault="00B44E9D" w:rsidP="00A415A3">
      <w:pPr>
        <w:keepNext/>
        <w:adjustRightInd w:val="0"/>
        <w:jc w:val="both"/>
        <w:rPr>
          <w:rFonts w:ascii="Arial" w:hAnsi="Arial" w:cs="Arial"/>
          <w:b/>
          <w:bCs/>
          <w:sz w:val="20"/>
          <w:szCs w:val="20"/>
        </w:rPr>
      </w:pPr>
      <w:r w:rsidRPr="00A72244">
        <w:rPr>
          <w:rFonts w:ascii="Arial" w:hAnsi="Arial" w:cs="Arial"/>
          <w:b/>
          <w:bCs/>
          <w:noProof/>
          <w:sz w:val="20"/>
          <w:szCs w:val="20"/>
        </w:rPr>
        <mc:AlternateContent>
          <mc:Choice Requires="wps">
            <w:drawing>
              <wp:anchor distT="0" distB="0" distL="114300" distR="114300" simplePos="0" relativeHeight="251666944" behindDoc="0" locked="0" layoutInCell="1" allowOverlap="1" wp14:anchorId="18D570C5" wp14:editId="4F5402D1">
                <wp:simplePos x="0" y="0"/>
                <wp:positionH relativeFrom="page">
                  <wp:posOffset>823595</wp:posOffset>
                </wp:positionH>
                <wp:positionV relativeFrom="paragraph">
                  <wp:posOffset>201930</wp:posOffset>
                </wp:positionV>
                <wp:extent cx="6219825" cy="0"/>
                <wp:effectExtent l="13970" t="13970" r="5080" b="5080"/>
                <wp:wrapNone/>
                <wp:docPr id="14"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BEA03" id="Line 538"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85pt,15.9pt" to="554.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" strokeweight=".48pt">
                <w10:wrap anchorx="page"/>
              </v:line>
            </w:pict>
          </mc:Fallback>
        </mc:AlternateContent>
      </w:r>
      <w:r w:rsidRPr="00A72244">
        <w:rPr>
          <w:rFonts w:ascii="Arial" w:hAnsi="Arial" w:cs="Arial"/>
          <w:b/>
          <w:bCs/>
          <w:noProof/>
          <w:sz w:val="20"/>
          <w:szCs w:val="20"/>
        </w:rPr>
        <w:t>RESULTS OF OPERATIONS</w:t>
      </w:r>
    </w:p>
    <w:p w14:paraId="7B737ED3" w14:textId="77777777" w:rsidR="00B44E9D" w:rsidRPr="00A72244" w:rsidRDefault="00B44E9D" w:rsidP="00B44E9D">
      <w:pPr>
        <w:spacing w:line="218" w:lineRule="auto"/>
        <w:jc w:val="both"/>
        <w:rPr>
          <w:rFonts w:ascii="Arial" w:hAnsi="Arial" w:cs="Arial"/>
          <w:sz w:val="20"/>
          <w:szCs w:val="20"/>
        </w:rPr>
      </w:pPr>
    </w:p>
    <w:p w14:paraId="0ED924D0" w14:textId="0FA151FC" w:rsidR="0075420D" w:rsidRPr="00A72244" w:rsidRDefault="001C3633" w:rsidP="0075420D">
      <w:pPr>
        <w:keepNext/>
        <w:adjustRightInd w:val="0"/>
        <w:jc w:val="both"/>
        <w:rPr>
          <w:rFonts w:ascii="Arial" w:hAnsi="Arial" w:cs="Arial"/>
          <w:b/>
          <w:bCs/>
          <w:sz w:val="20"/>
          <w:szCs w:val="20"/>
          <w:lang w:eastAsia="zh-TW"/>
        </w:rPr>
      </w:pPr>
      <w:r w:rsidRPr="00A72244">
        <w:rPr>
          <w:rFonts w:ascii="Arial" w:hAnsi="Arial" w:cs="Arial"/>
          <w:b/>
          <w:bCs/>
          <w:sz w:val="20"/>
          <w:szCs w:val="20"/>
          <w:lang w:eastAsia="zh-TW"/>
        </w:rPr>
        <w:t>Three</w:t>
      </w:r>
      <w:r w:rsidR="0075420D" w:rsidRPr="00A72244">
        <w:rPr>
          <w:rFonts w:ascii="Arial" w:hAnsi="Arial" w:cs="Arial"/>
          <w:b/>
          <w:bCs/>
          <w:sz w:val="20"/>
          <w:szCs w:val="20"/>
          <w:lang w:eastAsia="zh-TW"/>
        </w:rPr>
        <w:t xml:space="preserve"> </w:t>
      </w:r>
      <w:r w:rsidR="00B314DE" w:rsidRPr="00A72244">
        <w:rPr>
          <w:rFonts w:ascii="Arial" w:hAnsi="Arial" w:cs="Arial"/>
          <w:b/>
          <w:bCs/>
          <w:sz w:val="20"/>
          <w:szCs w:val="20"/>
          <w:lang w:eastAsia="zh-TW"/>
        </w:rPr>
        <w:t>M</w:t>
      </w:r>
      <w:r w:rsidR="0075420D" w:rsidRPr="00A72244">
        <w:rPr>
          <w:rFonts w:ascii="Arial" w:hAnsi="Arial" w:cs="Arial"/>
          <w:b/>
          <w:bCs/>
          <w:sz w:val="20"/>
          <w:szCs w:val="20"/>
          <w:lang w:eastAsia="zh-TW"/>
        </w:rPr>
        <w:t xml:space="preserve">onths </w:t>
      </w:r>
      <w:r w:rsidR="00B314DE" w:rsidRPr="00A72244">
        <w:rPr>
          <w:rFonts w:ascii="Arial" w:hAnsi="Arial" w:cs="Arial"/>
          <w:b/>
          <w:bCs/>
          <w:sz w:val="20"/>
          <w:szCs w:val="20"/>
          <w:lang w:eastAsia="zh-TW"/>
        </w:rPr>
        <w:t>E</w:t>
      </w:r>
      <w:r w:rsidR="0075420D" w:rsidRPr="00A72244">
        <w:rPr>
          <w:rFonts w:ascii="Arial" w:hAnsi="Arial" w:cs="Arial"/>
          <w:b/>
          <w:bCs/>
          <w:sz w:val="20"/>
          <w:szCs w:val="20"/>
          <w:lang w:eastAsia="zh-TW"/>
        </w:rPr>
        <w:t xml:space="preserve">nded </w:t>
      </w:r>
      <w:r w:rsidR="00380803" w:rsidRPr="00A72244">
        <w:rPr>
          <w:rFonts w:ascii="Arial" w:hAnsi="Arial" w:cs="Arial"/>
          <w:b/>
          <w:bCs/>
          <w:sz w:val="20"/>
          <w:szCs w:val="20"/>
          <w:lang w:eastAsia="zh-TW"/>
        </w:rPr>
        <w:t>December 31</w:t>
      </w:r>
      <w:r w:rsidR="006D2209" w:rsidRPr="00A72244">
        <w:rPr>
          <w:rFonts w:ascii="Arial" w:hAnsi="Arial" w:cs="Arial"/>
          <w:b/>
          <w:bCs/>
          <w:sz w:val="20"/>
          <w:szCs w:val="20"/>
          <w:lang w:eastAsia="zh-TW"/>
        </w:rPr>
        <w:t>, 202</w:t>
      </w:r>
      <w:r w:rsidR="00886431" w:rsidRPr="00A72244">
        <w:rPr>
          <w:rFonts w:ascii="Arial" w:hAnsi="Arial" w:cs="Arial"/>
          <w:b/>
          <w:bCs/>
          <w:sz w:val="20"/>
          <w:szCs w:val="20"/>
          <w:lang w:eastAsia="zh-TW"/>
        </w:rPr>
        <w:t>1</w:t>
      </w:r>
    </w:p>
    <w:p w14:paraId="7BAAC876" w14:textId="77777777" w:rsidR="00EF6437" w:rsidRPr="00A72244" w:rsidRDefault="00EF6437" w:rsidP="0075420D">
      <w:pPr>
        <w:keepNext/>
        <w:adjustRightInd w:val="0"/>
        <w:jc w:val="both"/>
        <w:rPr>
          <w:rFonts w:ascii="Arial" w:hAnsi="Arial" w:cs="Arial"/>
          <w:b/>
          <w:bCs/>
          <w:sz w:val="20"/>
          <w:szCs w:val="20"/>
          <w:lang w:eastAsia="zh-TW"/>
        </w:rPr>
      </w:pPr>
    </w:p>
    <w:p w14:paraId="1DE09C5E" w14:textId="61DB8A9A" w:rsidR="005B4532" w:rsidRPr="00271B27" w:rsidRDefault="005B4532" w:rsidP="005B4532">
      <w:pPr>
        <w:keepNext/>
        <w:adjustRightInd w:val="0"/>
        <w:jc w:val="both"/>
        <w:rPr>
          <w:rFonts w:ascii="Arial" w:hAnsi="Arial" w:cs="Arial"/>
          <w:sz w:val="20"/>
          <w:szCs w:val="20"/>
          <w:highlight w:val="yellow"/>
        </w:rPr>
      </w:pPr>
      <w:r w:rsidRPr="00A72244">
        <w:rPr>
          <w:rFonts w:ascii="Arial" w:hAnsi="Arial" w:cs="Arial"/>
          <w:sz w:val="20"/>
          <w:szCs w:val="20"/>
        </w:rPr>
        <w:t xml:space="preserve">Revenue for the three months ended </w:t>
      </w:r>
      <w:r w:rsidR="00380803" w:rsidRPr="00A72244">
        <w:rPr>
          <w:rFonts w:ascii="Arial" w:hAnsi="Arial" w:cs="Arial"/>
          <w:sz w:val="20"/>
          <w:szCs w:val="20"/>
        </w:rPr>
        <w:t>December 31</w:t>
      </w:r>
      <w:r w:rsidRPr="00A72244">
        <w:rPr>
          <w:rFonts w:ascii="Arial" w:hAnsi="Arial" w:cs="Arial"/>
          <w:sz w:val="20"/>
          <w:szCs w:val="20"/>
        </w:rPr>
        <w:t xml:space="preserve">, </w:t>
      </w:r>
      <w:proofErr w:type="gramStart"/>
      <w:r w:rsidRPr="00A72244">
        <w:rPr>
          <w:rFonts w:ascii="Arial" w:hAnsi="Arial" w:cs="Arial"/>
          <w:sz w:val="20"/>
          <w:szCs w:val="20"/>
        </w:rPr>
        <w:t>2021</w:t>
      </w:r>
      <w:proofErr w:type="gramEnd"/>
      <w:r w:rsidRPr="00A72244">
        <w:rPr>
          <w:rFonts w:ascii="Arial" w:hAnsi="Arial" w:cs="Arial"/>
          <w:sz w:val="20"/>
          <w:szCs w:val="20"/>
        </w:rPr>
        <w:t xml:space="preserve"> </w:t>
      </w:r>
      <w:r w:rsidRPr="00AB0747">
        <w:rPr>
          <w:rFonts w:ascii="Arial" w:hAnsi="Arial" w:cs="Arial"/>
          <w:sz w:val="20"/>
          <w:szCs w:val="20"/>
        </w:rPr>
        <w:t>was $</w:t>
      </w:r>
      <w:r w:rsidR="00A72244" w:rsidRPr="00AB0747">
        <w:rPr>
          <w:rFonts w:ascii="Arial" w:hAnsi="Arial" w:cs="Arial"/>
          <w:sz w:val="20"/>
          <w:szCs w:val="20"/>
        </w:rPr>
        <w:t>13,896,440</w:t>
      </w:r>
      <w:r w:rsidRPr="00AB0747">
        <w:rPr>
          <w:rFonts w:ascii="Arial" w:hAnsi="Arial" w:cs="Arial"/>
          <w:sz w:val="20"/>
          <w:szCs w:val="20"/>
        </w:rPr>
        <w:t xml:space="preserve"> compared to revenue of $</w:t>
      </w:r>
      <w:r w:rsidR="00A72244" w:rsidRPr="00AB0747">
        <w:rPr>
          <w:rFonts w:ascii="Arial" w:hAnsi="Arial" w:cs="Arial"/>
          <w:sz w:val="20"/>
          <w:szCs w:val="20"/>
        </w:rPr>
        <w:t>11,057,939</w:t>
      </w:r>
      <w:r w:rsidRPr="00AB0747">
        <w:rPr>
          <w:rFonts w:ascii="Arial" w:hAnsi="Arial" w:cs="Arial"/>
          <w:sz w:val="20"/>
          <w:szCs w:val="20"/>
        </w:rPr>
        <w:t xml:space="preserve"> for the three months ended </w:t>
      </w:r>
      <w:r w:rsidR="00380803" w:rsidRPr="00AB0747">
        <w:rPr>
          <w:rFonts w:ascii="Arial" w:hAnsi="Arial" w:cs="Arial"/>
          <w:sz w:val="20"/>
          <w:szCs w:val="20"/>
        </w:rPr>
        <w:t>December 31</w:t>
      </w:r>
      <w:r w:rsidRPr="00AB0747">
        <w:rPr>
          <w:rFonts w:ascii="Arial" w:hAnsi="Arial" w:cs="Arial"/>
          <w:sz w:val="20"/>
          <w:szCs w:val="20"/>
        </w:rPr>
        <w:t>, 2020. Revenue has increased due to organic growth through product line expansion in engineered wood products</w:t>
      </w:r>
      <w:r w:rsidR="00AB0747" w:rsidRPr="00AB0747">
        <w:rPr>
          <w:rFonts w:ascii="Arial" w:hAnsi="Arial" w:cs="Arial"/>
          <w:sz w:val="20"/>
          <w:szCs w:val="20"/>
        </w:rPr>
        <w:t xml:space="preserve"> during the quarter. </w:t>
      </w:r>
      <w:r w:rsidRPr="00AB0747">
        <w:rPr>
          <w:rFonts w:ascii="Arial" w:hAnsi="Arial" w:cs="Arial"/>
          <w:sz w:val="20"/>
          <w:szCs w:val="20"/>
        </w:rPr>
        <w:t xml:space="preserve">Additionally, </w:t>
      </w:r>
      <w:r w:rsidR="00FC36A6" w:rsidRPr="00AB0747">
        <w:rPr>
          <w:rFonts w:ascii="Arial" w:hAnsi="Arial" w:cs="Arial"/>
          <w:sz w:val="20"/>
          <w:szCs w:val="20"/>
        </w:rPr>
        <w:t xml:space="preserve">during the period </w:t>
      </w:r>
      <w:r w:rsidRPr="00AB0747">
        <w:rPr>
          <w:rFonts w:ascii="Arial" w:hAnsi="Arial" w:cs="Arial"/>
          <w:sz w:val="20"/>
          <w:szCs w:val="20"/>
        </w:rPr>
        <w:t xml:space="preserve">sales pricing was adjusted to </w:t>
      </w:r>
      <w:r w:rsidR="00FC36A6" w:rsidRPr="00AB0747">
        <w:rPr>
          <w:rFonts w:ascii="Arial" w:hAnsi="Arial" w:cs="Arial"/>
          <w:sz w:val="20"/>
          <w:szCs w:val="20"/>
        </w:rPr>
        <w:t xml:space="preserve">reflect </w:t>
      </w:r>
      <w:r w:rsidR="00114452" w:rsidRPr="00AB0747">
        <w:rPr>
          <w:rFonts w:ascii="Arial" w:hAnsi="Arial" w:cs="Arial"/>
          <w:sz w:val="20"/>
          <w:szCs w:val="20"/>
        </w:rPr>
        <w:t>higher raw material costs compared to the prior period</w:t>
      </w:r>
      <w:r w:rsidRPr="00AB0747">
        <w:rPr>
          <w:rFonts w:ascii="Arial" w:hAnsi="Arial" w:cs="Arial"/>
          <w:sz w:val="20"/>
          <w:szCs w:val="20"/>
        </w:rPr>
        <w:t xml:space="preserve">, which has resulted in higher sales values. </w:t>
      </w:r>
      <w:r w:rsidR="004B6F55" w:rsidRPr="00AB0747">
        <w:rPr>
          <w:rFonts w:ascii="Arial" w:hAnsi="Arial" w:cs="Arial"/>
          <w:sz w:val="20"/>
          <w:szCs w:val="20"/>
        </w:rPr>
        <w:t>As the Company passes through the cost of raw materials in its product pricing, overall revenues may fluctuate somewhat with the price of raw materials.</w:t>
      </w:r>
    </w:p>
    <w:p w14:paraId="23DF73EE" w14:textId="77777777" w:rsidR="00B314DE" w:rsidRPr="00271B27" w:rsidRDefault="00B314DE" w:rsidP="00B314DE">
      <w:pPr>
        <w:keepNext/>
        <w:adjustRightInd w:val="0"/>
        <w:jc w:val="both"/>
        <w:rPr>
          <w:rFonts w:ascii="Arial" w:hAnsi="Arial" w:cs="Arial"/>
          <w:sz w:val="20"/>
          <w:szCs w:val="20"/>
          <w:highlight w:val="yellow"/>
        </w:rPr>
      </w:pPr>
    </w:p>
    <w:p w14:paraId="554A05E6" w14:textId="2103E858" w:rsidR="005B4532" w:rsidRPr="00271B27" w:rsidRDefault="005B4532" w:rsidP="005B4532">
      <w:pPr>
        <w:keepNext/>
        <w:adjustRightInd w:val="0"/>
        <w:jc w:val="both"/>
        <w:rPr>
          <w:rFonts w:ascii="Arial" w:hAnsi="Arial" w:cs="Arial"/>
          <w:sz w:val="20"/>
          <w:szCs w:val="20"/>
          <w:highlight w:val="yellow"/>
        </w:rPr>
      </w:pPr>
      <w:r w:rsidRPr="00A72244">
        <w:rPr>
          <w:rFonts w:ascii="Arial" w:hAnsi="Arial" w:cs="Arial"/>
          <w:sz w:val="20"/>
          <w:szCs w:val="20"/>
        </w:rPr>
        <w:t xml:space="preserve">Cost of sales for the three months ended </w:t>
      </w:r>
      <w:r w:rsidR="00A72244" w:rsidRPr="00A72244">
        <w:rPr>
          <w:rFonts w:ascii="Arial" w:hAnsi="Arial" w:cs="Arial"/>
          <w:sz w:val="20"/>
          <w:szCs w:val="20"/>
        </w:rPr>
        <w:t>December 31</w:t>
      </w:r>
      <w:r w:rsidRPr="00A72244">
        <w:rPr>
          <w:rFonts w:ascii="Arial" w:hAnsi="Arial" w:cs="Arial"/>
          <w:sz w:val="20"/>
          <w:szCs w:val="20"/>
        </w:rPr>
        <w:t xml:space="preserve">, </w:t>
      </w:r>
      <w:proofErr w:type="gramStart"/>
      <w:r w:rsidRPr="00A72244">
        <w:rPr>
          <w:rFonts w:ascii="Arial" w:hAnsi="Arial" w:cs="Arial"/>
          <w:sz w:val="20"/>
          <w:szCs w:val="20"/>
        </w:rPr>
        <w:t>2021</w:t>
      </w:r>
      <w:proofErr w:type="gramEnd"/>
      <w:r w:rsidRPr="00A72244">
        <w:rPr>
          <w:rFonts w:ascii="Arial" w:hAnsi="Arial" w:cs="Arial"/>
          <w:sz w:val="20"/>
          <w:szCs w:val="20"/>
        </w:rPr>
        <w:t xml:space="preserve"> was $</w:t>
      </w:r>
      <w:r w:rsidR="00A72244" w:rsidRPr="00A72244">
        <w:rPr>
          <w:rFonts w:ascii="Arial" w:hAnsi="Arial" w:cs="Arial"/>
          <w:sz w:val="20"/>
          <w:szCs w:val="20"/>
        </w:rPr>
        <w:t>8,716,457</w:t>
      </w:r>
      <w:r w:rsidRPr="00A72244">
        <w:rPr>
          <w:rFonts w:ascii="Arial" w:hAnsi="Arial" w:cs="Arial"/>
          <w:sz w:val="20"/>
          <w:szCs w:val="20"/>
        </w:rPr>
        <w:t xml:space="preserve"> compared to $</w:t>
      </w:r>
      <w:r w:rsidR="00A72244" w:rsidRPr="00A72244">
        <w:rPr>
          <w:rFonts w:ascii="Arial" w:hAnsi="Arial" w:cs="Arial"/>
          <w:sz w:val="20"/>
          <w:szCs w:val="20"/>
        </w:rPr>
        <w:t>8,867,583</w:t>
      </w:r>
      <w:r w:rsidRPr="00A72244">
        <w:rPr>
          <w:rFonts w:ascii="Arial" w:hAnsi="Arial" w:cs="Arial"/>
          <w:sz w:val="20"/>
          <w:szCs w:val="20"/>
        </w:rPr>
        <w:t xml:space="preserve"> for the three months ended </w:t>
      </w:r>
      <w:r w:rsidR="00A72244" w:rsidRPr="00A72244">
        <w:rPr>
          <w:rFonts w:ascii="Arial" w:hAnsi="Arial" w:cs="Arial"/>
          <w:sz w:val="20"/>
          <w:szCs w:val="20"/>
        </w:rPr>
        <w:t>December 31</w:t>
      </w:r>
      <w:r w:rsidRPr="00A72244">
        <w:rPr>
          <w:rFonts w:ascii="Arial" w:hAnsi="Arial" w:cs="Arial"/>
          <w:sz w:val="20"/>
          <w:szCs w:val="20"/>
        </w:rPr>
        <w:t xml:space="preserve">, </w:t>
      </w:r>
      <w:r w:rsidRPr="00AB0747">
        <w:rPr>
          <w:rFonts w:ascii="Arial" w:hAnsi="Arial" w:cs="Arial"/>
          <w:sz w:val="20"/>
          <w:szCs w:val="20"/>
        </w:rPr>
        <w:t xml:space="preserve">2020. Cost of sales has </w:t>
      </w:r>
      <w:r w:rsidR="00206800">
        <w:rPr>
          <w:rFonts w:ascii="Arial" w:hAnsi="Arial" w:cs="Arial"/>
          <w:sz w:val="20"/>
          <w:szCs w:val="20"/>
        </w:rPr>
        <w:t>decreased</w:t>
      </w:r>
      <w:r w:rsidRPr="00AB0747">
        <w:rPr>
          <w:rFonts w:ascii="Arial" w:hAnsi="Arial" w:cs="Arial"/>
          <w:sz w:val="20"/>
          <w:szCs w:val="20"/>
        </w:rPr>
        <w:t xml:space="preserve"> </w:t>
      </w:r>
      <w:r w:rsidR="00206800">
        <w:rPr>
          <w:rFonts w:ascii="Arial" w:hAnsi="Arial" w:cs="Arial"/>
          <w:sz w:val="20"/>
          <w:szCs w:val="20"/>
        </w:rPr>
        <w:t xml:space="preserve">even though sales increased </w:t>
      </w:r>
      <w:r w:rsidRPr="00AB0747">
        <w:rPr>
          <w:rFonts w:ascii="Arial" w:hAnsi="Arial" w:cs="Arial"/>
          <w:sz w:val="20"/>
          <w:szCs w:val="20"/>
        </w:rPr>
        <w:t>primarily due to the</w:t>
      </w:r>
      <w:r w:rsidR="00206800">
        <w:rPr>
          <w:rFonts w:ascii="Arial" w:hAnsi="Arial" w:cs="Arial"/>
          <w:sz w:val="20"/>
          <w:szCs w:val="20"/>
        </w:rPr>
        <w:t xml:space="preserve"> decrease in lumber prices for a brief period during the three months ended December 31, 2021. </w:t>
      </w:r>
    </w:p>
    <w:p w14:paraId="7B77E9BB" w14:textId="77777777" w:rsidR="00D51456" w:rsidRPr="00A72244" w:rsidRDefault="00D51456" w:rsidP="00D51456">
      <w:pPr>
        <w:rPr>
          <w:rFonts w:ascii="Arial" w:hAnsi="Arial" w:cs="Arial"/>
          <w:sz w:val="20"/>
          <w:szCs w:val="20"/>
        </w:rPr>
      </w:pPr>
    </w:p>
    <w:p w14:paraId="1957B5C9" w14:textId="2AE47A9C" w:rsidR="005B4532" w:rsidRPr="00271B27" w:rsidRDefault="009A6446" w:rsidP="005B4532">
      <w:pPr>
        <w:keepNext/>
        <w:adjustRightInd w:val="0"/>
        <w:jc w:val="both"/>
        <w:rPr>
          <w:rFonts w:ascii="Arial" w:hAnsi="Arial" w:cs="Arial"/>
          <w:sz w:val="20"/>
          <w:szCs w:val="20"/>
          <w:highlight w:val="yellow"/>
        </w:rPr>
      </w:pPr>
      <w:r w:rsidRPr="00A72244">
        <w:rPr>
          <w:rFonts w:ascii="Arial" w:hAnsi="Arial" w:cs="Arial"/>
          <w:sz w:val="20"/>
          <w:szCs w:val="20"/>
        </w:rPr>
        <w:t xml:space="preserve">Gross profit for the three months ended </w:t>
      </w:r>
      <w:r w:rsidR="00A72244" w:rsidRPr="00A72244">
        <w:rPr>
          <w:rFonts w:ascii="Arial" w:hAnsi="Arial" w:cs="Arial"/>
          <w:sz w:val="20"/>
          <w:szCs w:val="20"/>
        </w:rPr>
        <w:t>December 31</w:t>
      </w:r>
      <w:r w:rsidRPr="00A72244">
        <w:rPr>
          <w:rFonts w:ascii="Arial" w:hAnsi="Arial" w:cs="Arial"/>
          <w:sz w:val="20"/>
          <w:szCs w:val="20"/>
        </w:rPr>
        <w:t xml:space="preserve">, </w:t>
      </w:r>
      <w:proofErr w:type="gramStart"/>
      <w:r w:rsidRPr="00A72244">
        <w:rPr>
          <w:rFonts w:ascii="Arial" w:hAnsi="Arial" w:cs="Arial"/>
          <w:sz w:val="20"/>
          <w:szCs w:val="20"/>
        </w:rPr>
        <w:t>2021</w:t>
      </w:r>
      <w:proofErr w:type="gramEnd"/>
      <w:r w:rsidRPr="00A72244">
        <w:rPr>
          <w:rFonts w:ascii="Arial" w:hAnsi="Arial" w:cs="Arial"/>
          <w:sz w:val="20"/>
          <w:szCs w:val="20"/>
        </w:rPr>
        <w:t xml:space="preserve"> was $</w:t>
      </w:r>
      <w:r w:rsidR="00A72244" w:rsidRPr="00A72244">
        <w:rPr>
          <w:rFonts w:ascii="Arial" w:hAnsi="Arial" w:cs="Arial"/>
          <w:sz w:val="20"/>
          <w:szCs w:val="20"/>
        </w:rPr>
        <w:t>5,179,983</w:t>
      </w:r>
      <w:r w:rsidRPr="00A72244">
        <w:rPr>
          <w:rFonts w:ascii="Arial" w:hAnsi="Arial" w:cs="Arial"/>
          <w:sz w:val="20"/>
          <w:szCs w:val="20"/>
        </w:rPr>
        <w:t xml:space="preserve"> compared to $</w:t>
      </w:r>
      <w:r w:rsidR="00A72244" w:rsidRPr="00A72244">
        <w:rPr>
          <w:rFonts w:ascii="Arial" w:hAnsi="Arial" w:cs="Arial"/>
          <w:sz w:val="20"/>
          <w:szCs w:val="20"/>
        </w:rPr>
        <w:t>2,190,356</w:t>
      </w:r>
      <w:r w:rsidRPr="00A72244">
        <w:rPr>
          <w:rFonts w:ascii="Arial" w:hAnsi="Arial" w:cs="Arial"/>
          <w:sz w:val="20"/>
          <w:szCs w:val="20"/>
        </w:rPr>
        <w:t xml:space="preserve"> for the three months ended </w:t>
      </w:r>
      <w:r w:rsidR="00A72244" w:rsidRPr="00A72244">
        <w:rPr>
          <w:rFonts w:ascii="Arial" w:hAnsi="Arial" w:cs="Arial"/>
          <w:sz w:val="20"/>
          <w:szCs w:val="20"/>
        </w:rPr>
        <w:t>December 31</w:t>
      </w:r>
      <w:r w:rsidRPr="00F01425">
        <w:rPr>
          <w:rFonts w:ascii="Arial" w:hAnsi="Arial" w:cs="Arial"/>
          <w:sz w:val="20"/>
          <w:szCs w:val="20"/>
        </w:rPr>
        <w:t xml:space="preserve">, 2020. </w:t>
      </w:r>
      <w:r w:rsidR="005B4532" w:rsidRPr="00F01425">
        <w:rPr>
          <w:rFonts w:ascii="Arial" w:hAnsi="Arial" w:cs="Arial"/>
          <w:sz w:val="20"/>
          <w:szCs w:val="20"/>
        </w:rPr>
        <w:t xml:space="preserve">Gross margin for the three months ended </w:t>
      </w:r>
      <w:r w:rsidR="00A72244" w:rsidRPr="00F01425">
        <w:rPr>
          <w:rFonts w:ascii="Arial" w:hAnsi="Arial" w:cs="Arial"/>
          <w:sz w:val="20"/>
          <w:szCs w:val="20"/>
        </w:rPr>
        <w:t>December 31</w:t>
      </w:r>
      <w:r w:rsidR="005B4532" w:rsidRPr="00F01425">
        <w:rPr>
          <w:rFonts w:ascii="Arial" w:hAnsi="Arial" w:cs="Arial"/>
          <w:sz w:val="20"/>
          <w:szCs w:val="20"/>
        </w:rPr>
        <w:t xml:space="preserve">, </w:t>
      </w:r>
      <w:proofErr w:type="gramStart"/>
      <w:r w:rsidR="005B4532" w:rsidRPr="00F01425">
        <w:rPr>
          <w:rFonts w:ascii="Arial" w:hAnsi="Arial" w:cs="Arial"/>
          <w:sz w:val="20"/>
          <w:szCs w:val="20"/>
        </w:rPr>
        <w:t>2021</w:t>
      </w:r>
      <w:proofErr w:type="gramEnd"/>
      <w:r w:rsidR="005B4532" w:rsidRPr="00F01425">
        <w:rPr>
          <w:rFonts w:ascii="Arial" w:hAnsi="Arial" w:cs="Arial"/>
          <w:sz w:val="20"/>
          <w:szCs w:val="20"/>
        </w:rPr>
        <w:t xml:space="preserve"> was 3</w:t>
      </w:r>
      <w:r w:rsidR="00A72244" w:rsidRPr="00F01425">
        <w:rPr>
          <w:rFonts w:ascii="Arial" w:hAnsi="Arial" w:cs="Arial"/>
          <w:sz w:val="20"/>
          <w:szCs w:val="20"/>
        </w:rPr>
        <w:t>7</w:t>
      </w:r>
      <w:r w:rsidR="005B4532" w:rsidRPr="00F01425">
        <w:rPr>
          <w:rFonts w:ascii="Arial" w:hAnsi="Arial" w:cs="Arial"/>
          <w:sz w:val="20"/>
          <w:szCs w:val="20"/>
        </w:rPr>
        <w:t>%, which is higher than gross margin of 2</w:t>
      </w:r>
      <w:r w:rsidR="00A72244" w:rsidRPr="00F01425">
        <w:rPr>
          <w:rFonts w:ascii="Arial" w:hAnsi="Arial" w:cs="Arial"/>
          <w:sz w:val="20"/>
          <w:szCs w:val="20"/>
        </w:rPr>
        <w:t>0</w:t>
      </w:r>
      <w:r w:rsidR="005B4532" w:rsidRPr="00F01425">
        <w:rPr>
          <w:rFonts w:ascii="Arial" w:hAnsi="Arial" w:cs="Arial"/>
          <w:sz w:val="20"/>
          <w:szCs w:val="20"/>
        </w:rPr>
        <w:t xml:space="preserve">% for the three months ended </w:t>
      </w:r>
      <w:r w:rsidR="00A72244" w:rsidRPr="00F01425">
        <w:rPr>
          <w:rFonts w:ascii="Arial" w:hAnsi="Arial" w:cs="Arial"/>
          <w:sz w:val="20"/>
          <w:szCs w:val="20"/>
        </w:rPr>
        <w:t>December 31</w:t>
      </w:r>
      <w:r w:rsidR="005B4532" w:rsidRPr="00F01425">
        <w:rPr>
          <w:rFonts w:ascii="Arial" w:hAnsi="Arial" w:cs="Arial"/>
          <w:sz w:val="20"/>
          <w:szCs w:val="20"/>
        </w:rPr>
        <w:t xml:space="preserve">, 2020. </w:t>
      </w:r>
      <w:bookmarkStart w:id="12" w:name="_Hlk70950055"/>
      <w:r w:rsidR="005B4532" w:rsidRPr="00F01425">
        <w:rPr>
          <w:rFonts w:ascii="Arial" w:hAnsi="Arial" w:cs="Arial"/>
          <w:sz w:val="20"/>
          <w:szCs w:val="20"/>
        </w:rPr>
        <w:t xml:space="preserve">Gross </w:t>
      </w:r>
      <w:r w:rsidRPr="00F01425">
        <w:rPr>
          <w:rFonts w:ascii="Arial" w:hAnsi="Arial" w:cs="Arial"/>
          <w:sz w:val="20"/>
          <w:szCs w:val="20"/>
        </w:rPr>
        <w:t xml:space="preserve">profits and </w:t>
      </w:r>
      <w:r w:rsidR="005B4532" w:rsidRPr="00F01425">
        <w:rPr>
          <w:rFonts w:ascii="Arial" w:hAnsi="Arial" w:cs="Arial"/>
          <w:sz w:val="20"/>
          <w:szCs w:val="20"/>
        </w:rPr>
        <w:t xml:space="preserve">margins increased due to pricing assessments and updates being completed at all locations. </w:t>
      </w:r>
      <w:bookmarkEnd w:id="12"/>
      <w:r w:rsidR="00230C8C" w:rsidRPr="00F01425">
        <w:rPr>
          <w:rFonts w:ascii="Arial" w:hAnsi="Arial" w:cs="Arial"/>
          <w:sz w:val="20"/>
          <w:szCs w:val="20"/>
        </w:rPr>
        <w:t xml:space="preserve">During the three months ended </w:t>
      </w:r>
      <w:r w:rsidR="00A72244" w:rsidRPr="00F01425">
        <w:rPr>
          <w:rFonts w:ascii="Arial" w:hAnsi="Arial" w:cs="Arial"/>
          <w:sz w:val="20"/>
          <w:szCs w:val="20"/>
        </w:rPr>
        <w:t>December 31</w:t>
      </w:r>
      <w:r w:rsidR="00230C8C" w:rsidRPr="00F01425">
        <w:rPr>
          <w:rFonts w:ascii="Arial" w:hAnsi="Arial" w:cs="Arial"/>
          <w:sz w:val="20"/>
          <w:szCs w:val="20"/>
        </w:rPr>
        <w:t xml:space="preserve">, 2021, some raw material prices started to drop significantly while several jobs and contracts were still priced at higher material cost. This helped offset the impacts the Company faced while those material prices were rising </w:t>
      </w:r>
      <w:proofErr w:type="gramStart"/>
      <w:r w:rsidR="00230C8C" w:rsidRPr="00F01425">
        <w:rPr>
          <w:rFonts w:ascii="Arial" w:hAnsi="Arial" w:cs="Arial"/>
          <w:sz w:val="20"/>
          <w:szCs w:val="20"/>
        </w:rPr>
        <w:t>steeply</w:t>
      </w:r>
      <w:proofErr w:type="gramEnd"/>
      <w:r w:rsidR="00230C8C" w:rsidRPr="00F01425">
        <w:rPr>
          <w:rFonts w:ascii="Arial" w:hAnsi="Arial" w:cs="Arial"/>
          <w:sz w:val="20"/>
          <w:szCs w:val="20"/>
        </w:rPr>
        <w:t xml:space="preserve"> and some pricing could not be adjusted where contracts were signed. </w:t>
      </w:r>
      <w:r w:rsidR="005B4532" w:rsidRPr="00F01425">
        <w:rPr>
          <w:rFonts w:ascii="Arial" w:hAnsi="Arial" w:cs="Arial"/>
          <w:sz w:val="20"/>
          <w:szCs w:val="20"/>
        </w:rPr>
        <w:t xml:space="preserve">Additionally, the Company has also focused on improving efficiencies on new product lines and new acquisitions, </w:t>
      </w:r>
      <w:proofErr w:type="gramStart"/>
      <w:r w:rsidR="005B4532" w:rsidRPr="00F01425">
        <w:rPr>
          <w:rFonts w:ascii="Arial" w:hAnsi="Arial" w:cs="Arial"/>
          <w:sz w:val="20"/>
          <w:szCs w:val="20"/>
        </w:rPr>
        <w:t>as well as,</w:t>
      </w:r>
      <w:proofErr w:type="gramEnd"/>
      <w:r w:rsidR="005B4532" w:rsidRPr="00F01425">
        <w:rPr>
          <w:rFonts w:ascii="Arial" w:hAnsi="Arial" w:cs="Arial"/>
          <w:sz w:val="20"/>
          <w:szCs w:val="20"/>
        </w:rPr>
        <w:t xml:space="preserve"> the Company’s core product lines with more automated manufacturing equipment purchased at the end of January 2021.</w:t>
      </w:r>
    </w:p>
    <w:p w14:paraId="54E59897" w14:textId="77777777" w:rsidR="005B4532" w:rsidRPr="00271B27" w:rsidRDefault="005B4532" w:rsidP="005B4532">
      <w:pPr>
        <w:keepNext/>
        <w:adjustRightInd w:val="0"/>
        <w:jc w:val="both"/>
        <w:rPr>
          <w:rFonts w:ascii="Arial" w:hAnsi="Arial" w:cs="Arial"/>
          <w:sz w:val="20"/>
          <w:szCs w:val="20"/>
          <w:highlight w:val="yellow"/>
        </w:rPr>
      </w:pPr>
    </w:p>
    <w:p w14:paraId="071BB805" w14:textId="0A4FD4B8" w:rsidR="005B4532" w:rsidRPr="00271B27" w:rsidRDefault="005B4532" w:rsidP="005B4532">
      <w:pPr>
        <w:keepNext/>
        <w:adjustRightInd w:val="0"/>
        <w:jc w:val="both"/>
        <w:rPr>
          <w:rFonts w:ascii="Arial" w:hAnsi="Arial" w:cs="Arial"/>
          <w:color w:val="000000" w:themeColor="text1"/>
          <w:sz w:val="20"/>
          <w:szCs w:val="20"/>
          <w:highlight w:val="yellow"/>
        </w:rPr>
      </w:pPr>
      <w:r w:rsidRPr="00A72244">
        <w:rPr>
          <w:rFonts w:ascii="Arial" w:hAnsi="Arial" w:cs="Arial"/>
          <w:color w:val="000000" w:themeColor="text1"/>
          <w:sz w:val="20"/>
          <w:szCs w:val="20"/>
        </w:rPr>
        <w:t>Operating expenses were $</w:t>
      </w:r>
      <w:r w:rsidR="00A72244" w:rsidRPr="00A72244">
        <w:rPr>
          <w:rFonts w:ascii="Arial" w:hAnsi="Arial" w:cs="Arial"/>
          <w:color w:val="000000" w:themeColor="text1"/>
          <w:sz w:val="20"/>
          <w:szCs w:val="20"/>
        </w:rPr>
        <w:t>1,575,822</w:t>
      </w:r>
      <w:r w:rsidRPr="00A72244">
        <w:rPr>
          <w:rFonts w:ascii="Arial" w:hAnsi="Arial" w:cs="Arial"/>
          <w:color w:val="000000" w:themeColor="text1"/>
          <w:sz w:val="20"/>
          <w:szCs w:val="20"/>
        </w:rPr>
        <w:t xml:space="preserve"> for the three </w:t>
      </w:r>
      <w:r w:rsidRPr="008A17AE">
        <w:rPr>
          <w:rFonts w:ascii="Arial" w:hAnsi="Arial" w:cs="Arial"/>
          <w:color w:val="000000" w:themeColor="text1"/>
          <w:sz w:val="20"/>
          <w:szCs w:val="20"/>
        </w:rPr>
        <w:t xml:space="preserve">months ended </w:t>
      </w:r>
      <w:r w:rsidR="00A72244" w:rsidRPr="008A17AE">
        <w:rPr>
          <w:rFonts w:ascii="Arial" w:hAnsi="Arial" w:cs="Arial"/>
          <w:color w:val="000000" w:themeColor="text1"/>
          <w:sz w:val="20"/>
          <w:szCs w:val="20"/>
        </w:rPr>
        <w:t>December 31</w:t>
      </w:r>
      <w:r w:rsidRPr="008A17AE">
        <w:rPr>
          <w:rFonts w:ascii="Arial" w:hAnsi="Arial" w:cs="Arial"/>
          <w:color w:val="000000" w:themeColor="text1"/>
          <w:sz w:val="20"/>
          <w:szCs w:val="20"/>
        </w:rPr>
        <w:t xml:space="preserve">, </w:t>
      </w:r>
      <w:proofErr w:type="gramStart"/>
      <w:r w:rsidRPr="008A17AE">
        <w:rPr>
          <w:rFonts w:ascii="Arial" w:hAnsi="Arial" w:cs="Arial"/>
          <w:color w:val="000000" w:themeColor="text1"/>
          <w:sz w:val="20"/>
          <w:szCs w:val="20"/>
        </w:rPr>
        <w:t>2021</w:t>
      </w:r>
      <w:proofErr w:type="gramEnd"/>
      <w:r w:rsidRPr="008A17AE">
        <w:rPr>
          <w:rFonts w:ascii="Arial" w:hAnsi="Arial" w:cs="Arial"/>
          <w:color w:val="000000" w:themeColor="text1"/>
          <w:sz w:val="20"/>
          <w:szCs w:val="20"/>
        </w:rPr>
        <w:t xml:space="preserve"> compared to $</w:t>
      </w:r>
      <w:r w:rsidR="00A72244" w:rsidRPr="008A17AE">
        <w:rPr>
          <w:rFonts w:ascii="Arial" w:hAnsi="Arial" w:cs="Arial"/>
          <w:color w:val="000000" w:themeColor="text1"/>
          <w:sz w:val="20"/>
          <w:szCs w:val="20"/>
        </w:rPr>
        <w:t xml:space="preserve">1,574,547 </w:t>
      </w:r>
      <w:r w:rsidRPr="008A17AE">
        <w:rPr>
          <w:rFonts w:ascii="Arial" w:hAnsi="Arial" w:cs="Arial"/>
          <w:color w:val="000000" w:themeColor="text1"/>
          <w:sz w:val="20"/>
          <w:szCs w:val="20"/>
        </w:rPr>
        <w:t xml:space="preserve">for the three months ended </w:t>
      </w:r>
      <w:r w:rsidR="00A72244" w:rsidRPr="008A17AE">
        <w:rPr>
          <w:rFonts w:ascii="Arial" w:hAnsi="Arial" w:cs="Arial"/>
          <w:color w:val="000000" w:themeColor="text1"/>
          <w:sz w:val="20"/>
          <w:szCs w:val="20"/>
        </w:rPr>
        <w:t>December 31</w:t>
      </w:r>
      <w:r w:rsidRPr="008A17AE">
        <w:rPr>
          <w:rFonts w:ascii="Arial" w:hAnsi="Arial" w:cs="Arial"/>
          <w:color w:val="000000" w:themeColor="text1"/>
          <w:sz w:val="20"/>
          <w:szCs w:val="20"/>
        </w:rPr>
        <w:t xml:space="preserve">, 2020, </w:t>
      </w:r>
      <w:r w:rsidR="008A17AE" w:rsidRPr="008A17AE">
        <w:rPr>
          <w:rFonts w:ascii="Arial" w:hAnsi="Arial" w:cs="Arial"/>
          <w:color w:val="000000" w:themeColor="text1"/>
          <w:sz w:val="20"/>
          <w:szCs w:val="20"/>
        </w:rPr>
        <w:t>representing no change in the Company’s overall operating expenses</w:t>
      </w:r>
      <w:r w:rsidRPr="008A17AE">
        <w:rPr>
          <w:rFonts w:ascii="Arial" w:hAnsi="Arial" w:cs="Arial"/>
          <w:color w:val="000000" w:themeColor="text1"/>
          <w:sz w:val="20"/>
          <w:szCs w:val="20"/>
        </w:rPr>
        <w:t>.</w:t>
      </w:r>
    </w:p>
    <w:p w14:paraId="4D6F3F27" w14:textId="77777777" w:rsidR="005B4532" w:rsidRPr="007E1BF3" w:rsidRDefault="005B4532" w:rsidP="005B4532">
      <w:pPr>
        <w:keepNext/>
        <w:adjustRightInd w:val="0"/>
        <w:jc w:val="both"/>
        <w:rPr>
          <w:rFonts w:ascii="Arial" w:hAnsi="Arial" w:cs="Arial"/>
          <w:sz w:val="20"/>
          <w:szCs w:val="20"/>
        </w:rPr>
      </w:pPr>
    </w:p>
    <w:p w14:paraId="3FD6A2DE" w14:textId="73666658" w:rsidR="005B4532" w:rsidRPr="007E1BF3" w:rsidRDefault="005B4532" w:rsidP="005B4532">
      <w:pPr>
        <w:keepNext/>
        <w:adjustRightInd w:val="0"/>
        <w:jc w:val="both"/>
        <w:rPr>
          <w:rFonts w:ascii="Arial" w:hAnsi="Arial" w:cs="Arial"/>
          <w:sz w:val="20"/>
          <w:szCs w:val="20"/>
        </w:rPr>
      </w:pPr>
      <w:r w:rsidRPr="007E1BF3">
        <w:rPr>
          <w:rFonts w:ascii="Arial" w:hAnsi="Arial" w:cs="Arial"/>
          <w:sz w:val="20"/>
          <w:szCs w:val="20"/>
        </w:rPr>
        <w:t>The Company recorded net income after taxes of $</w:t>
      </w:r>
      <w:r w:rsidR="00A72244" w:rsidRPr="007E1BF3">
        <w:rPr>
          <w:rFonts w:ascii="Arial" w:hAnsi="Arial" w:cs="Arial"/>
          <w:sz w:val="20"/>
          <w:szCs w:val="20"/>
        </w:rPr>
        <w:t>2,</w:t>
      </w:r>
      <w:r w:rsidR="009761C1">
        <w:rPr>
          <w:rFonts w:ascii="Arial" w:hAnsi="Arial" w:cs="Arial"/>
          <w:sz w:val="20"/>
          <w:szCs w:val="20"/>
        </w:rPr>
        <w:t>459,868</w:t>
      </w:r>
      <w:r w:rsidRPr="007E1BF3">
        <w:rPr>
          <w:rFonts w:ascii="Arial" w:hAnsi="Arial" w:cs="Arial"/>
          <w:sz w:val="20"/>
          <w:szCs w:val="20"/>
        </w:rPr>
        <w:t xml:space="preserve"> ($0.0</w:t>
      </w:r>
      <w:r w:rsidR="009761C1">
        <w:rPr>
          <w:rFonts w:ascii="Arial" w:hAnsi="Arial" w:cs="Arial"/>
          <w:sz w:val="20"/>
          <w:szCs w:val="20"/>
        </w:rPr>
        <w:t>4</w:t>
      </w:r>
      <w:r w:rsidRPr="007E1BF3">
        <w:rPr>
          <w:rFonts w:ascii="Arial" w:hAnsi="Arial" w:cs="Arial"/>
          <w:sz w:val="20"/>
          <w:szCs w:val="20"/>
        </w:rPr>
        <w:t xml:space="preserve"> per share</w:t>
      </w:r>
      <w:r w:rsidR="009761C1">
        <w:rPr>
          <w:rFonts w:ascii="Arial" w:hAnsi="Arial" w:cs="Arial"/>
          <w:sz w:val="20"/>
          <w:szCs w:val="20"/>
        </w:rPr>
        <w:t xml:space="preserve"> basic, $0.03 per share diluted</w:t>
      </w:r>
      <w:r w:rsidRPr="007E1BF3">
        <w:rPr>
          <w:rFonts w:ascii="Arial" w:hAnsi="Arial" w:cs="Arial"/>
          <w:sz w:val="20"/>
          <w:szCs w:val="20"/>
        </w:rPr>
        <w:t xml:space="preserve">) for the three months ended </w:t>
      </w:r>
      <w:r w:rsidR="007E1BF3" w:rsidRPr="007E1BF3">
        <w:rPr>
          <w:rFonts w:ascii="Arial" w:hAnsi="Arial" w:cs="Arial"/>
          <w:sz w:val="20"/>
          <w:szCs w:val="20"/>
        </w:rPr>
        <w:t>December 31</w:t>
      </w:r>
      <w:r w:rsidRPr="007E1BF3">
        <w:rPr>
          <w:rFonts w:ascii="Arial" w:hAnsi="Arial" w:cs="Arial"/>
          <w:sz w:val="20"/>
          <w:szCs w:val="20"/>
        </w:rPr>
        <w:t xml:space="preserve">, </w:t>
      </w:r>
      <w:proofErr w:type="gramStart"/>
      <w:r w:rsidRPr="007E1BF3">
        <w:rPr>
          <w:rFonts w:ascii="Arial" w:hAnsi="Arial" w:cs="Arial"/>
          <w:sz w:val="20"/>
          <w:szCs w:val="20"/>
        </w:rPr>
        <w:t>2021</w:t>
      </w:r>
      <w:proofErr w:type="gramEnd"/>
      <w:r w:rsidRPr="007E1BF3">
        <w:rPr>
          <w:rFonts w:ascii="Arial" w:hAnsi="Arial" w:cs="Arial"/>
          <w:sz w:val="20"/>
          <w:szCs w:val="20"/>
        </w:rPr>
        <w:t xml:space="preserve"> compared to a net income after taxes of $</w:t>
      </w:r>
      <w:r w:rsidR="007E1BF3" w:rsidRPr="007E1BF3">
        <w:rPr>
          <w:rFonts w:ascii="Arial" w:hAnsi="Arial" w:cs="Arial"/>
          <w:sz w:val="20"/>
          <w:szCs w:val="20"/>
        </w:rPr>
        <w:t>351,757</w:t>
      </w:r>
      <w:r w:rsidRPr="007E1BF3">
        <w:rPr>
          <w:rFonts w:ascii="Arial" w:hAnsi="Arial" w:cs="Arial"/>
          <w:sz w:val="20"/>
          <w:szCs w:val="20"/>
        </w:rPr>
        <w:t xml:space="preserve"> ($0.01 per share</w:t>
      </w:r>
      <w:r w:rsidR="009761C1">
        <w:rPr>
          <w:rFonts w:ascii="Arial" w:hAnsi="Arial" w:cs="Arial"/>
          <w:sz w:val="20"/>
          <w:szCs w:val="20"/>
        </w:rPr>
        <w:t xml:space="preserve"> basic, $0.00 per share diluted</w:t>
      </w:r>
      <w:r w:rsidRPr="007E1BF3">
        <w:rPr>
          <w:rFonts w:ascii="Arial" w:hAnsi="Arial" w:cs="Arial"/>
          <w:sz w:val="20"/>
          <w:szCs w:val="20"/>
        </w:rPr>
        <w:t xml:space="preserve">) for the three months ended </w:t>
      </w:r>
      <w:r w:rsidR="007E1BF3" w:rsidRPr="007E1BF3">
        <w:rPr>
          <w:rFonts w:ascii="Arial" w:hAnsi="Arial" w:cs="Arial"/>
          <w:sz w:val="20"/>
          <w:szCs w:val="20"/>
        </w:rPr>
        <w:t>December 31</w:t>
      </w:r>
      <w:r w:rsidRPr="007E1BF3">
        <w:rPr>
          <w:rFonts w:ascii="Arial" w:hAnsi="Arial" w:cs="Arial"/>
          <w:sz w:val="20"/>
          <w:szCs w:val="20"/>
        </w:rPr>
        <w:t>, 2020. The Company recorded a higher net income after taxes in the current period due to increased revenues</w:t>
      </w:r>
      <w:r w:rsidR="007E1BF3" w:rsidRPr="007E1BF3">
        <w:rPr>
          <w:rFonts w:ascii="Arial" w:hAnsi="Arial" w:cs="Arial"/>
          <w:sz w:val="20"/>
          <w:szCs w:val="20"/>
        </w:rPr>
        <w:t xml:space="preserve"> and</w:t>
      </w:r>
      <w:r w:rsidRPr="007E1BF3">
        <w:rPr>
          <w:rFonts w:ascii="Arial" w:hAnsi="Arial" w:cs="Arial"/>
          <w:sz w:val="20"/>
          <w:szCs w:val="20"/>
        </w:rPr>
        <w:t xml:space="preserve"> increased margins</w:t>
      </w:r>
      <w:r w:rsidR="00C31200" w:rsidRPr="007E1BF3">
        <w:rPr>
          <w:rFonts w:ascii="Arial" w:hAnsi="Arial" w:cs="Arial"/>
          <w:sz w:val="20"/>
          <w:szCs w:val="20"/>
        </w:rPr>
        <w:t>.</w:t>
      </w:r>
    </w:p>
    <w:p w14:paraId="2833077A" w14:textId="77777777" w:rsidR="005B4532" w:rsidRPr="00874690" w:rsidRDefault="005B4532" w:rsidP="005B4532">
      <w:pPr>
        <w:keepNext/>
        <w:adjustRightInd w:val="0"/>
        <w:jc w:val="both"/>
        <w:rPr>
          <w:rFonts w:ascii="Arial" w:hAnsi="Arial" w:cs="Arial"/>
          <w:sz w:val="20"/>
          <w:szCs w:val="20"/>
        </w:rPr>
      </w:pPr>
    </w:p>
    <w:p w14:paraId="48B28B37" w14:textId="5A2EF5E6" w:rsidR="005B4532" w:rsidRPr="00271B27" w:rsidRDefault="005B4532" w:rsidP="005B4532">
      <w:pPr>
        <w:jc w:val="both"/>
        <w:rPr>
          <w:rFonts w:ascii="Arial" w:hAnsi="Arial" w:cs="Arial"/>
          <w:color w:val="FF0000"/>
          <w:sz w:val="20"/>
          <w:szCs w:val="20"/>
          <w:highlight w:val="yellow"/>
        </w:rPr>
      </w:pPr>
      <w:r w:rsidRPr="00874690">
        <w:rPr>
          <w:rFonts w:ascii="Arial" w:hAnsi="Arial" w:cs="Arial"/>
          <w:sz w:val="20"/>
          <w:szCs w:val="20"/>
          <w:u w:val="single"/>
        </w:rPr>
        <w:t xml:space="preserve">Administrative and office for the three months ended </w:t>
      </w:r>
      <w:r w:rsidR="00874690" w:rsidRPr="008A17AE">
        <w:rPr>
          <w:rFonts w:ascii="Arial" w:hAnsi="Arial" w:cs="Arial"/>
          <w:sz w:val="20"/>
          <w:szCs w:val="20"/>
          <w:u w:val="single"/>
        </w:rPr>
        <w:t>December 31</w:t>
      </w:r>
      <w:r w:rsidRPr="008A17AE">
        <w:rPr>
          <w:rFonts w:ascii="Arial" w:hAnsi="Arial" w:cs="Arial"/>
          <w:sz w:val="20"/>
          <w:szCs w:val="20"/>
          <w:u w:val="single"/>
        </w:rPr>
        <w:t xml:space="preserve">, </w:t>
      </w:r>
      <w:proofErr w:type="gramStart"/>
      <w:r w:rsidRPr="008A17AE">
        <w:rPr>
          <w:rFonts w:ascii="Arial" w:hAnsi="Arial" w:cs="Arial"/>
          <w:sz w:val="20"/>
          <w:szCs w:val="20"/>
          <w:u w:val="single"/>
        </w:rPr>
        <w:t>2021</w:t>
      </w:r>
      <w:proofErr w:type="gramEnd"/>
      <w:r w:rsidRPr="008A17AE">
        <w:rPr>
          <w:rFonts w:ascii="Arial" w:hAnsi="Arial" w:cs="Arial"/>
          <w:sz w:val="20"/>
          <w:szCs w:val="20"/>
          <w:u w:val="single"/>
        </w:rPr>
        <w:t xml:space="preserve"> $</w:t>
      </w:r>
      <w:r w:rsidR="00874690" w:rsidRPr="008A17AE">
        <w:rPr>
          <w:rFonts w:ascii="Arial" w:hAnsi="Arial" w:cs="Arial"/>
          <w:sz w:val="20"/>
          <w:szCs w:val="20"/>
          <w:u w:val="single"/>
        </w:rPr>
        <w:t>355,064</w:t>
      </w:r>
      <w:r w:rsidRPr="008A17AE">
        <w:rPr>
          <w:rFonts w:ascii="Arial" w:hAnsi="Arial" w:cs="Arial"/>
          <w:sz w:val="20"/>
          <w:szCs w:val="20"/>
          <w:u w:val="single"/>
        </w:rPr>
        <w:t xml:space="preserve"> (three months ended </w:t>
      </w:r>
      <w:r w:rsidR="00874690" w:rsidRPr="008A17AE">
        <w:rPr>
          <w:rFonts w:ascii="Arial" w:hAnsi="Arial" w:cs="Arial"/>
          <w:sz w:val="20"/>
          <w:szCs w:val="20"/>
          <w:u w:val="single"/>
        </w:rPr>
        <w:t>December</w:t>
      </w:r>
      <w:r w:rsidRPr="008A17AE">
        <w:rPr>
          <w:rFonts w:ascii="Arial" w:hAnsi="Arial" w:cs="Arial"/>
          <w:sz w:val="20"/>
          <w:szCs w:val="20"/>
          <w:u w:val="single"/>
        </w:rPr>
        <w:t xml:space="preserve"> 31, 2020 – $</w:t>
      </w:r>
      <w:r w:rsidR="00874690" w:rsidRPr="008A17AE">
        <w:rPr>
          <w:rFonts w:ascii="Arial" w:hAnsi="Arial" w:cs="Arial"/>
          <w:sz w:val="20"/>
          <w:szCs w:val="20"/>
          <w:u w:val="single"/>
        </w:rPr>
        <w:t>429,225</w:t>
      </w:r>
      <w:r w:rsidRPr="008A17AE">
        <w:rPr>
          <w:rFonts w:ascii="Arial" w:hAnsi="Arial" w:cs="Arial"/>
          <w:sz w:val="20"/>
          <w:szCs w:val="20"/>
          <w:u w:val="single"/>
        </w:rPr>
        <w:t>).</w:t>
      </w:r>
      <w:r w:rsidRPr="008A17AE">
        <w:rPr>
          <w:rFonts w:ascii="Arial" w:hAnsi="Arial" w:cs="Arial"/>
          <w:sz w:val="20"/>
          <w:szCs w:val="20"/>
        </w:rPr>
        <w:t xml:space="preserve"> Administrative and office expenses have </w:t>
      </w:r>
      <w:r w:rsidR="00941E25" w:rsidRPr="008A17AE">
        <w:rPr>
          <w:rFonts w:ascii="Arial" w:hAnsi="Arial" w:cs="Arial"/>
          <w:sz w:val="20"/>
          <w:szCs w:val="20"/>
        </w:rPr>
        <w:t xml:space="preserve">decreased </w:t>
      </w:r>
      <w:r w:rsidR="008A17AE" w:rsidRPr="008A17AE">
        <w:rPr>
          <w:rFonts w:ascii="Arial" w:hAnsi="Arial" w:cs="Arial"/>
          <w:sz w:val="20"/>
          <w:szCs w:val="20"/>
        </w:rPr>
        <w:t xml:space="preserve">because there were no significant bank fees in 2021 compared to 2020. At the end of 2020, the Company switched their main banking relationship and fees were incurred during this switch. </w:t>
      </w:r>
      <w:r w:rsidR="00963474" w:rsidRPr="008A17AE">
        <w:rPr>
          <w:rFonts w:ascii="Arial" w:hAnsi="Arial" w:cs="Arial"/>
          <w:sz w:val="20"/>
          <w:szCs w:val="20"/>
        </w:rPr>
        <w:t xml:space="preserve"> </w:t>
      </w:r>
      <w:r w:rsidRPr="008A17AE">
        <w:rPr>
          <w:rFonts w:ascii="Arial" w:hAnsi="Arial" w:cs="Arial"/>
          <w:sz w:val="20"/>
          <w:szCs w:val="20"/>
        </w:rPr>
        <w:t xml:space="preserve"> </w:t>
      </w:r>
    </w:p>
    <w:p w14:paraId="0493AA28" w14:textId="77777777" w:rsidR="005B4532" w:rsidRPr="0019418E" w:rsidRDefault="005B4532" w:rsidP="005B4532">
      <w:pPr>
        <w:keepNext/>
        <w:adjustRightInd w:val="0"/>
        <w:jc w:val="both"/>
        <w:rPr>
          <w:rFonts w:ascii="Arial" w:hAnsi="Arial" w:cs="Arial"/>
          <w:sz w:val="20"/>
          <w:szCs w:val="20"/>
        </w:rPr>
      </w:pPr>
    </w:p>
    <w:p w14:paraId="2FF36699" w14:textId="2BAE20F5" w:rsidR="005B4532" w:rsidRPr="0019418E" w:rsidRDefault="005B4532" w:rsidP="005B4532">
      <w:pPr>
        <w:keepNext/>
        <w:adjustRightInd w:val="0"/>
        <w:jc w:val="both"/>
        <w:rPr>
          <w:rFonts w:ascii="Arial" w:eastAsia="Times New Roman" w:hAnsi="Arial" w:cs="Arial"/>
          <w:bCs/>
          <w:sz w:val="20"/>
          <w:szCs w:val="20"/>
          <w:lang w:val="en-CA" w:eastAsia="zh-TW"/>
        </w:rPr>
      </w:pPr>
      <w:r w:rsidRPr="0019418E">
        <w:rPr>
          <w:rFonts w:ascii="Arial" w:hAnsi="Arial" w:cs="Arial"/>
          <w:sz w:val="20"/>
          <w:szCs w:val="20"/>
          <w:u w:val="single"/>
        </w:rPr>
        <w:t>Depreciation</w:t>
      </w:r>
      <w:r w:rsidR="00036CC3">
        <w:rPr>
          <w:rFonts w:ascii="Arial" w:hAnsi="Arial" w:cs="Arial"/>
          <w:sz w:val="20"/>
          <w:szCs w:val="20"/>
          <w:u w:val="single"/>
        </w:rPr>
        <w:t xml:space="preserve"> and amortization</w:t>
      </w:r>
      <w:r w:rsidRPr="0019418E">
        <w:rPr>
          <w:rFonts w:ascii="Arial" w:hAnsi="Arial" w:cs="Arial"/>
          <w:sz w:val="20"/>
          <w:szCs w:val="20"/>
          <w:u w:val="single"/>
        </w:rPr>
        <w:t xml:space="preserve"> for the three months ended </w:t>
      </w:r>
      <w:r w:rsidR="00874690" w:rsidRPr="0019418E">
        <w:rPr>
          <w:rFonts w:ascii="Arial" w:hAnsi="Arial" w:cs="Arial"/>
          <w:sz w:val="20"/>
          <w:szCs w:val="20"/>
          <w:u w:val="single"/>
        </w:rPr>
        <w:t>December 31</w:t>
      </w:r>
      <w:r w:rsidRPr="0019418E">
        <w:rPr>
          <w:rFonts w:ascii="Arial" w:hAnsi="Arial" w:cs="Arial"/>
          <w:sz w:val="20"/>
          <w:szCs w:val="20"/>
          <w:u w:val="single"/>
        </w:rPr>
        <w:t xml:space="preserve">, </w:t>
      </w:r>
      <w:proofErr w:type="gramStart"/>
      <w:r w:rsidRPr="0019418E">
        <w:rPr>
          <w:rFonts w:ascii="Arial" w:hAnsi="Arial" w:cs="Arial"/>
          <w:sz w:val="20"/>
          <w:szCs w:val="20"/>
          <w:u w:val="single"/>
        </w:rPr>
        <w:t>2021</w:t>
      </w:r>
      <w:proofErr w:type="gramEnd"/>
      <w:r w:rsidRPr="0019418E">
        <w:rPr>
          <w:rFonts w:ascii="Arial" w:hAnsi="Arial" w:cs="Arial"/>
          <w:sz w:val="20"/>
          <w:szCs w:val="20"/>
          <w:u w:val="single"/>
        </w:rPr>
        <w:t xml:space="preserve"> $</w:t>
      </w:r>
      <w:r w:rsidR="00874690" w:rsidRPr="0019418E">
        <w:rPr>
          <w:rFonts w:ascii="Arial" w:hAnsi="Arial" w:cs="Arial"/>
          <w:sz w:val="20"/>
          <w:szCs w:val="20"/>
          <w:u w:val="single"/>
        </w:rPr>
        <w:t>305,569</w:t>
      </w:r>
      <w:r w:rsidRPr="0019418E">
        <w:rPr>
          <w:rFonts w:ascii="Arial" w:hAnsi="Arial" w:cs="Arial"/>
          <w:sz w:val="20"/>
          <w:szCs w:val="20"/>
          <w:u w:val="single"/>
        </w:rPr>
        <w:t xml:space="preserve"> (three months ended </w:t>
      </w:r>
      <w:r w:rsidR="00874690" w:rsidRPr="0019418E">
        <w:rPr>
          <w:rFonts w:ascii="Arial" w:hAnsi="Arial" w:cs="Arial"/>
          <w:sz w:val="20"/>
          <w:szCs w:val="20"/>
          <w:u w:val="single"/>
        </w:rPr>
        <w:t>December 31</w:t>
      </w:r>
      <w:r w:rsidRPr="0019418E">
        <w:rPr>
          <w:rFonts w:ascii="Arial" w:hAnsi="Arial" w:cs="Arial"/>
          <w:sz w:val="20"/>
          <w:szCs w:val="20"/>
          <w:u w:val="single"/>
        </w:rPr>
        <w:t>, 2020 – $</w:t>
      </w:r>
      <w:r w:rsidR="00874690" w:rsidRPr="0019418E">
        <w:rPr>
          <w:rFonts w:ascii="Arial" w:hAnsi="Arial" w:cs="Arial"/>
          <w:sz w:val="20"/>
          <w:szCs w:val="20"/>
          <w:u w:val="single"/>
        </w:rPr>
        <w:t>375,102</w:t>
      </w:r>
      <w:r w:rsidRPr="0019418E">
        <w:rPr>
          <w:rFonts w:ascii="Arial" w:hAnsi="Arial" w:cs="Arial"/>
          <w:sz w:val="20"/>
          <w:szCs w:val="20"/>
          <w:u w:val="single"/>
        </w:rPr>
        <w:t>).</w:t>
      </w:r>
      <w:r w:rsidRPr="0019418E">
        <w:rPr>
          <w:rFonts w:ascii="Arial" w:hAnsi="Arial" w:cs="Arial"/>
          <w:sz w:val="20"/>
          <w:szCs w:val="20"/>
        </w:rPr>
        <w:t xml:space="preserve"> </w:t>
      </w:r>
      <w:r w:rsidRPr="0019418E">
        <w:rPr>
          <w:rFonts w:ascii="Arial" w:eastAsia="Times New Roman" w:hAnsi="Arial" w:cs="Arial"/>
          <w:bCs/>
          <w:sz w:val="20"/>
          <w:szCs w:val="20"/>
          <w:lang w:val="en-CA" w:eastAsia="zh-TW"/>
        </w:rPr>
        <w:t>Overall depreciation</w:t>
      </w:r>
      <w:r w:rsidR="00036CC3">
        <w:rPr>
          <w:rFonts w:ascii="Arial" w:eastAsia="Times New Roman" w:hAnsi="Arial" w:cs="Arial"/>
          <w:bCs/>
          <w:sz w:val="20"/>
          <w:szCs w:val="20"/>
          <w:lang w:val="en-CA" w:eastAsia="zh-TW"/>
        </w:rPr>
        <w:t xml:space="preserve"> and amortization</w:t>
      </w:r>
      <w:r w:rsidRPr="0019418E">
        <w:rPr>
          <w:rFonts w:ascii="Arial" w:eastAsia="Times New Roman" w:hAnsi="Arial" w:cs="Arial"/>
          <w:bCs/>
          <w:sz w:val="20"/>
          <w:szCs w:val="20"/>
          <w:lang w:val="en-CA" w:eastAsia="zh-TW"/>
        </w:rPr>
        <w:t xml:space="preserve"> decreased from the prior period due to no significant changes in assets that were not directly related to manufacturing and the Company’s </w:t>
      </w:r>
      <w:r w:rsidR="00036CC3">
        <w:rPr>
          <w:rFonts w:ascii="Arial" w:eastAsia="Times New Roman" w:hAnsi="Arial" w:cs="Arial"/>
          <w:bCs/>
          <w:sz w:val="20"/>
          <w:szCs w:val="20"/>
          <w:lang w:val="en-CA" w:eastAsia="zh-TW"/>
        </w:rPr>
        <w:t>depreciation</w:t>
      </w:r>
      <w:r w:rsidRPr="0019418E">
        <w:rPr>
          <w:rFonts w:ascii="Arial" w:eastAsia="Times New Roman" w:hAnsi="Arial" w:cs="Arial"/>
          <w:bCs/>
          <w:sz w:val="20"/>
          <w:szCs w:val="20"/>
          <w:lang w:val="en-CA" w:eastAsia="zh-TW"/>
        </w:rPr>
        <w:t xml:space="preserve"> policy which is based on a declining balance basis. During the </w:t>
      </w:r>
      <w:r w:rsidRPr="0019418E">
        <w:rPr>
          <w:rFonts w:ascii="Arial" w:hAnsi="Arial" w:cs="Arial"/>
          <w:sz w:val="20"/>
          <w:szCs w:val="20"/>
        </w:rPr>
        <w:t xml:space="preserve">three months ended </w:t>
      </w:r>
      <w:r w:rsidR="00874690" w:rsidRPr="0019418E">
        <w:rPr>
          <w:rFonts w:ascii="Arial" w:hAnsi="Arial" w:cs="Arial"/>
          <w:sz w:val="20"/>
          <w:szCs w:val="20"/>
        </w:rPr>
        <w:t>December 31</w:t>
      </w:r>
      <w:r w:rsidRPr="0019418E">
        <w:rPr>
          <w:rFonts w:ascii="Arial" w:hAnsi="Arial" w:cs="Arial"/>
          <w:sz w:val="20"/>
          <w:szCs w:val="20"/>
        </w:rPr>
        <w:t>, 2021</w:t>
      </w:r>
      <w:r w:rsidRPr="0019418E">
        <w:rPr>
          <w:rFonts w:ascii="Arial" w:eastAsia="Times New Roman" w:hAnsi="Arial" w:cs="Arial"/>
          <w:bCs/>
          <w:sz w:val="20"/>
          <w:szCs w:val="20"/>
          <w:lang w:val="en-CA" w:eastAsia="zh-TW"/>
        </w:rPr>
        <w:t>, $</w:t>
      </w:r>
      <w:r w:rsidR="0019418E" w:rsidRPr="0019418E">
        <w:rPr>
          <w:rFonts w:ascii="Arial" w:eastAsia="Times New Roman" w:hAnsi="Arial" w:cs="Arial"/>
          <w:bCs/>
          <w:sz w:val="20"/>
          <w:szCs w:val="20"/>
          <w:lang w:val="en-CA" w:eastAsia="zh-TW"/>
        </w:rPr>
        <w:t>376,813</w:t>
      </w:r>
      <w:r w:rsidRPr="0019418E">
        <w:rPr>
          <w:rFonts w:ascii="Arial" w:eastAsia="Times New Roman" w:hAnsi="Arial" w:cs="Arial"/>
          <w:bCs/>
          <w:sz w:val="20"/>
          <w:szCs w:val="20"/>
          <w:lang w:val="en-CA" w:eastAsia="zh-TW"/>
        </w:rPr>
        <w:t xml:space="preserve"> in additional depreciation was included in cost of sales (</w:t>
      </w:r>
      <w:r w:rsidRPr="0019418E">
        <w:rPr>
          <w:rFonts w:ascii="Arial" w:hAnsi="Arial" w:cs="Arial"/>
          <w:sz w:val="20"/>
          <w:szCs w:val="20"/>
        </w:rPr>
        <w:t xml:space="preserve">three months ended </w:t>
      </w:r>
      <w:r w:rsidR="00874690" w:rsidRPr="0019418E">
        <w:rPr>
          <w:rFonts w:ascii="Arial" w:hAnsi="Arial" w:cs="Arial"/>
          <w:sz w:val="20"/>
          <w:szCs w:val="20"/>
        </w:rPr>
        <w:lastRenderedPageBreak/>
        <w:t>December 31</w:t>
      </w:r>
      <w:r w:rsidRPr="0019418E">
        <w:rPr>
          <w:rFonts w:ascii="Arial" w:hAnsi="Arial" w:cs="Arial"/>
          <w:sz w:val="20"/>
          <w:szCs w:val="20"/>
        </w:rPr>
        <w:t>, 2020 – $</w:t>
      </w:r>
      <w:r w:rsidR="0019418E" w:rsidRPr="0019418E">
        <w:rPr>
          <w:rFonts w:ascii="Arial" w:hAnsi="Arial" w:cs="Arial"/>
          <w:sz w:val="20"/>
          <w:szCs w:val="20"/>
        </w:rPr>
        <w:t>398,570</w:t>
      </w:r>
      <w:r w:rsidRPr="0019418E">
        <w:rPr>
          <w:rFonts w:ascii="Arial" w:eastAsia="Times New Roman" w:hAnsi="Arial" w:cs="Arial"/>
          <w:bCs/>
          <w:sz w:val="20"/>
          <w:szCs w:val="20"/>
          <w:lang w:val="en-CA" w:eastAsia="zh-TW"/>
        </w:rPr>
        <w:t xml:space="preserve">). </w:t>
      </w:r>
    </w:p>
    <w:p w14:paraId="27B3B98D" w14:textId="77777777" w:rsidR="005B4532" w:rsidRPr="0019418E" w:rsidRDefault="005B4532" w:rsidP="005B4532">
      <w:pPr>
        <w:keepNext/>
        <w:adjustRightInd w:val="0"/>
        <w:jc w:val="both"/>
        <w:rPr>
          <w:rFonts w:ascii="Arial" w:eastAsia="Times New Roman" w:hAnsi="Arial" w:cs="Arial"/>
          <w:bCs/>
          <w:sz w:val="20"/>
          <w:szCs w:val="20"/>
          <w:lang w:val="en-CA" w:eastAsia="zh-TW"/>
        </w:rPr>
      </w:pPr>
    </w:p>
    <w:p w14:paraId="34E21204" w14:textId="144D1883" w:rsidR="005B4532" w:rsidRPr="0019418E" w:rsidRDefault="005B4532" w:rsidP="005B4532">
      <w:pPr>
        <w:keepNext/>
        <w:adjustRightInd w:val="0"/>
        <w:jc w:val="both"/>
        <w:rPr>
          <w:rFonts w:ascii="Arial" w:hAnsi="Arial" w:cs="Arial"/>
          <w:sz w:val="20"/>
          <w:szCs w:val="20"/>
          <w:u w:val="single"/>
        </w:rPr>
      </w:pPr>
      <w:r w:rsidRPr="0019418E">
        <w:rPr>
          <w:rFonts w:ascii="Arial" w:hAnsi="Arial" w:cs="Arial"/>
          <w:sz w:val="20"/>
          <w:szCs w:val="20"/>
          <w:u w:val="single"/>
        </w:rPr>
        <w:t xml:space="preserve">Management fees for the three months ended </w:t>
      </w:r>
      <w:r w:rsidR="0019418E" w:rsidRPr="0019418E">
        <w:rPr>
          <w:rFonts w:ascii="Arial" w:hAnsi="Arial" w:cs="Arial"/>
          <w:sz w:val="20"/>
          <w:szCs w:val="20"/>
          <w:u w:val="single"/>
        </w:rPr>
        <w:t>December 31</w:t>
      </w:r>
      <w:r w:rsidRPr="0019418E">
        <w:rPr>
          <w:rFonts w:ascii="Arial" w:hAnsi="Arial" w:cs="Arial"/>
          <w:sz w:val="20"/>
          <w:szCs w:val="20"/>
          <w:u w:val="single"/>
        </w:rPr>
        <w:t xml:space="preserve">, </w:t>
      </w:r>
      <w:proofErr w:type="gramStart"/>
      <w:r w:rsidRPr="0019418E">
        <w:rPr>
          <w:rFonts w:ascii="Arial" w:hAnsi="Arial" w:cs="Arial"/>
          <w:sz w:val="20"/>
          <w:szCs w:val="20"/>
          <w:u w:val="single"/>
        </w:rPr>
        <w:t>2021</w:t>
      </w:r>
      <w:proofErr w:type="gramEnd"/>
      <w:r w:rsidRPr="0019418E">
        <w:rPr>
          <w:rFonts w:ascii="Arial" w:hAnsi="Arial" w:cs="Arial"/>
          <w:sz w:val="20"/>
          <w:szCs w:val="20"/>
          <w:u w:val="single"/>
        </w:rPr>
        <w:t xml:space="preserve"> $</w:t>
      </w:r>
      <w:r w:rsidR="0019418E" w:rsidRPr="0019418E">
        <w:rPr>
          <w:rFonts w:ascii="Arial" w:hAnsi="Arial" w:cs="Arial"/>
          <w:sz w:val="20"/>
          <w:szCs w:val="20"/>
          <w:u w:val="single"/>
        </w:rPr>
        <w:t>NIL</w:t>
      </w:r>
      <w:r w:rsidRPr="0019418E">
        <w:rPr>
          <w:rFonts w:ascii="Arial" w:hAnsi="Arial" w:cs="Arial"/>
          <w:sz w:val="20"/>
          <w:szCs w:val="20"/>
          <w:u w:val="single"/>
        </w:rPr>
        <w:t xml:space="preserve"> (three months ended </w:t>
      </w:r>
      <w:r w:rsidR="0019418E" w:rsidRPr="0019418E">
        <w:rPr>
          <w:rFonts w:ascii="Arial" w:hAnsi="Arial" w:cs="Arial"/>
          <w:sz w:val="20"/>
          <w:szCs w:val="20"/>
          <w:u w:val="single"/>
        </w:rPr>
        <w:t>December 31</w:t>
      </w:r>
      <w:r w:rsidRPr="0019418E">
        <w:rPr>
          <w:rFonts w:ascii="Arial" w:hAnsi="Arial" w:cs="Arial"/>
          <w:sz w:val="20"/>
          <w:szCs w:val="20"/>
          <w:u w:val="single"/>
        </w:rPr>
        <w:t>, 2020 – $</w:t>
      </w:r>
      <w:r w:rsidR="0019418E" w:rsidRPr="0019418E">
        <w:rPr>
          <w:rFonts w:ascii="Arial" w:hAnsi="Arial" w:cs="Arial"/>
          <w:sz w:val="20"/>
          <w:szCs w:val="20"/>
          <w:u w:val="single"/>
        </w:rPr>
        <w:t>6</w:t>
      </w:r>
      <w:r w:rsidRPr="0019418E">
        <w:rPr>
          <w:rFonts w:ascii="Arial" w:hAnsi="Arial" w:cs="Arial"/>
          <w:sz w:val="20"/>
          <w:szCs w:val="20"/>
          <w:u w:val="single"/>
        </w:rPr>
        <w:t>1,200</w:t>
      </w:r>
      <w:r w:rsidRPr="0019418E">
        <w:rPr>
          <w:rFonts w:ascii="Arial" w:hAnsi="Arial" w:cs="Arial"/>
          <w:sz w:val="20"/>
          <w:szCs w:val="20"/>
        </w:rPr>
        <w:t xml:space="preserve">). </w:t>
      </w:r>
      <w:r w:rsidRPr="0019418E">
        <w:rPr>
          <w:rFonts w:ascii="Arial" w:eastAsia="Times New Roman" w:hAnsi="Arial" w:cs="Arial"/>
          <w:bCs/>
          <w:sz w:val="20"/>
          <w:szCs w:val="20"/>
          <w:lang w:val="en-CA" w:eastAsia="zh-TW"/>
        </w:rPr>
        <w:t xml:space="preserve">Management fees decreased due to a change from a consulting contract to an employment relationship. </w:t>
      </w:r>
    </w:p>
    <w:p w14:paraId="5FD9FB58" w14:textId="77777777" w:rsidR="005B4532" w:rsidRPr="00570229" w:rsidRDefault="005B4532" w:rsidP="005B4532">
      <w:pPr>
        <w:rPr>
          <w:rFonts w:ascii="Arial" w:hAnsi="Arial" w:cs="Arial"/>
          <w:sz w:val="20"/>
          <w:szCs w:val="20"/>
          <w:u w:val="single"/>
        </w:rPr>
      </w:pPr>
    </w:p>
    <w:p w14:paraId="488C3B48" w14:textId="72B755FD" w:rsidR="005B4532" w:rsidRPr="00570229" w:rsidRDefault="005B4532" w:rsidP="005B4532">
      <w:pPr>
        <w:keepNext/>
        <w:adjustRightInd w:val="0"/>
        <w:jc w:val="both"/>
        <w:rPr>
          <w:rFonts w:ascii="Arial" w:hAnsi="Arial" w:cs="Arial"/>
          <w:sz w:val="20"/>
          <w:szCs w:val="20"/>
        </w:rPr>
      </w:pPr>
      <w:r w:rsidRPr="00570229">
        <w:rPr>
          <w:rFonts w:ascii="Arial" w:hAnsi="Arial" w:cs="Arial"/>
          <w:sz w:val="20"/>
          <w:szCs w:val="20"/>
          <w:u w:val="single"/>
        </w:rPr>
        <w:t xml:space="preserve">Professional fees for the three months ended </w:t>
      </w:r>
      <w:r w:rsidR="0019418E" w:rsidRPr="00570229">
        <w:rPr>
          <w:rFonts w:ascii="Arial" w:hAnsi="Arial" w:cs="Arial"/>
          <w:sz w:val="20"/>
          <w:szCs w:val="20"/>
          <w:u w:val="single"/>
        </w:rPr>
        <w:t>December 31</w:t>
      </w:r>
      <w:r w:rsidRPr="00570229">
        <w:rPr>
          <w:rFonts w:ascii="Arial" w:hAnsi="Arial" w:cs="Arial"/>
          <w:sz w:val="20"/>
          <w:szCs w:val="20"/>
          <w:u w:val="single"/>
        </w:rPr>
        <w:t xml:space="preserve">, </w:t>
      </w:r>
      <w:proofErr w:type="gramStart"/>
      <w:r w:rsidRPr="00570229">
        <w:rPr>
          <w:rFonts w:ascii="Arial" w:hAnsi="Arial" w:cs="Arial"/>
          <w:sz w:val="20"/>
          <w:szCs w:val="20"/>
          <w:u w:val="single"/>
        </w:rPr>
        <w:t>2021</w:t>
      </w:r>
      <w:proofErr w:type="gramEnd"/>
      <w:r w:rsidRPr="00570229">
        <w:rPr>
          <w:rFonts w:ascii="Arial" w:hAnsi="Arial" w:cs="Arial"/>
          <w:sz w:val="20"/>
          <w:szCs w:val="20"/>
          <w:u w:val="single"/>
        </w:rPr>
        <w:t xml:space="preserve"> $</w:t>
      </w:r>
      <w:r w:rsidR="0019418E" w:rsidRPr="00570229">
        <w:rPr>
          <w:rFonts w:ascii="Arial" w:hAnsi="Arial" w:cs="Arial"/>
          <w:sz w:val="20"/>
          <w:szCs w:val="20"/>
          <w:u w:val="single"/>
        </w:rPr>
        <w:t>144,559</w:t>
      </w:r>
      <w:r w:rsidRPr="00570229">
        <w:rPr>
          <w:rFonts w:ascii="Arial" w:hAnsi="Arial" w:cs="Arial"/>
          <w:sz w:val="20"/>
          <w:szCs w:val="20"/>
          <w:u w:val="single"/>
        </w:rPr>
        <w:t xml:space="preserve"> (three months ended </w:t>
      </w:r>
      <w:r w:rsidR="0019418E" w:rsidRPr="00570229">
        <w:rPr>
          <w:rFonts w:ascii="Arial" w:hAnsi="Arial" w:cs="Arial"/>
          <w:sz w:val="20"/>
          <w:szCs w:val="20"/>
          <w:u w:val="single"/>
        </w:rPr>
        <w:t>December 31</w:t>
      </w:r>
      <w:r w:rsidRPr="00570229">
        <w:rPr>
          <w:rFonts w:ascii="Arial" w:hAnsi="Arial" w:cs="Arial"/>
          <w:sz w:val="20"/>
          <w:szCs w:val="20"/>
          <w:u w:val="single"/>
        </w:rPr>
        <w:t>, 2020 – $</w:t>
      </w:r>
      <w:r w:rsidR="0019418E" w:rsidRPr="00570229">
        <w:rPr>
          <w:rFonts w:ascii="Arial" w:hAnsi="Arial" w:cs="Arial"/>
          <w:sz w:val="20"/>
          <w:szCs w:val="20"/>
          <w:u w:val="single"/>
        </w:rPr>
        <w:t>108,737</w:t>
      </w:r>
      <w:r w:rsidRPr="00570229">
        <w:rPr>
          <w:rFonts w:ascii="Arial" w:hAnsi="Arial" w:cs="Arial"/>
          <w:sz w:val="20"/>
          <w:szCs w:val="20"/>
        </w:rPr>
        <w:t xml:space="preserve">). Professional fees </w:t>
      </w:r>
      <w:r w:rsidR="0019418E" w:rsidRPr="00570229">
        <w:rPr>
          <w:rFonts w:ascii="Arial" w:hAnsi="Arial" w:cs="Arial"/>
          <w:sz w:val="20"/>
          <w:szCs w:val="20"/>
        </w:rPr>
        <w:t>increased</w:t>
      </w:r>
      <w:r w:rsidRPr="00570229">
        <w:rPr>
          <w:rFonts w:ascii="Arial" w:hAnsi="Arial" w:cs="Arial"/>
          <w:sz w:val="20"/>
          <w:szCs w:val="20"/>
        </w:rPr>
        <w:t xml:space="preserve"> as there was </w:t>
      </w:r>
      <w:r w:rsidR="0019418E" w:rsidRPr="00570229">
        <w:rPr>
          <w:rFonts w:ascii="Arial" w:hAnsi="Arial" w:cs="Arial"/>
          <w:sz w:val="20"/>
          <w:szCs w:val="20"/>
        </w:rPr>
        <w:t>ongoing due diligence for an</w:t>
      </w:r>
      <w:r w:rsidRPr="00570229">
        <w:rPr>
          <w:rFonts w:ascii="Arial" w:hAnsi="Arial" w:cs="Arial"/>
          <w:sz w:val="20"/>
          <w:szCs w:val="20"/>
        </w:rPr>
        <w:t xml:space="preserve"> acquisition</w:t>
      </w:r>
      <w:r w:rsidR="00570229" w:rsidRPr="00570229">
        <w:rPr>
          <w:rFonts w:ascii="Arial" w:hAnsi="Arial" w:cs="Arial"/>
          <w:sz w:val="20"/>
          <w:szCs w:val="20"/>
        </w:rPr>
        <w:t xml:space="preserve">, in addition to the Company’s AGM and accounting preparation for the year end. </w:t>
      </w:r>
    </w:p>
    <w:p w14:paraId="46CB0A9A" w14:textId="77777777" w:rsidR="005B4532" w:rsidRPr="00570229" w:rsidRDefault="005B4532" w:rsidP="005B4532">
      <w:pPr>
        <w:keepNext/>
        <w:adjustRightInd w:val="0"/>
        <w:jc w:val="both"/>
        <w:rPr>
          <w:rFonts w:ascii="Arial" w:hAnsi="Arial" w:cs="Arial"/>
          <w:sz w:val="20"/>
          <w:szCs w:val="20"/>
          <w:u w:val="single"/>
        </w:rPr>
      </w:pPr>
    </w:p>
    <w:p w14:paraId="7662A0CA" w14:textId="65A43015" w:rsidR="005B4532" w:rsidRPr="00570229" w:rsidRDefault="005B4532" w:rsidP="005B4532">
      <w:pPr>
        <w:keepNext/>
        <w:adjustRightInd w:val="0"/>
        <w:jc w:val="both"/>
        <w:rPr>
          <w:rFonts w:ascii="Arial" w:eastAsia="Times New Roman" w:hAnsi="Arial" w:cs="Arial"/>
          <w:bCs/>
          <w:sz w:val="20"/>
          <w:szCs w:val="20"/>
          <w:lang w:val="en-CA" w:eastAsia="zh-TW"/>
        </w:rPr>
      </w:pPr>
      <w:r w:rsidRPr="00570229">
        <w:rPr>
          <w:rFonts w:ascii="Arial" w:hAnsi="Arial" w:cs="Arial"/>
          <w:sz w:val="20"/>
          <w:szCs w:val="20"/>
          <w:u w:val="single"/>
        </w:rPr>
        <w:t xml:space="preserve">Salaries and benefits for the three months ended </w:t>
      </w:r>
      <w:r w:rsidR="00570229" w:rsidRPr="00570229">
        <w:rPr>
          <w:rFonts w:ascii="Arial" w:hAnsi="Arial" w:cs="Arial"/>
          <w:sz w:val="20"/>
          <w:szCs w:val="20"/>
          <w:u w:val="single"/>
        </w:rPr>
        <w:t>December 31</w:t>
      </w:r>
      <w:r w:rsidRPr="00570229">
        <w:rPr>
          <w:rFonts w:ascii="Arial" w:hAnsi="Arial" w:cs="Arial"/>
          <w:sz w:val="20"/>
          <w:szCs w:val="20"/>
          <w:u w:val="single"/>
        </w:rPr>
        <w:t xml:space="preserve">, </w:t>
      </w:r>
      <w:proofErr w:type="gramStart"/>
      <w:r w:rsidRPr="00570229">
        <w:rPr>
          <w:rFonts w:ascii="Arial" w:hAnsi="Arial" w:cs="Arial"/>
          <w:sz w:val="20"/>
          <w:szCs w:val="20"/>
          <w:u w:val="single"/>
        </w:rPr>
        <w:t>2021</w:t>
      </w:r>
      <w:proofErr w:type="gramEnd"/>
      <w:r w:rsidRPr="00570229">
        <w:rPr>
          <w:rFonts w:ascii="Arial" w:hAnsi="Arial" w:cs="Arial"/>
          <w:sz w:val="20"/>
          <w:szCs w:val="20"/>
          <w:u w:val="single"/>
        </w:rPr>
        <w:t xml:space="preserve"> $</w:t>
      </w:r>
      <w:r w:rsidR="00570229" w:rsidRPr="00570229">
        <w:rPr>
          <w:rFonts w:ascii="Arial" w:hAnsi="Arial" w:cs="Arial"/>
          <w:sz w:val="20"/>
          <w:szCs w:val="20"/>
          <w:u w:val="single"/>
        </w:rPr>
        <w:t>699,782</w:t>
      </w:r>
      <w:r w:rsidRPr="00570229">
        <w:rPr>
          <w:rFonts w:ascii="Arial" w:hAnsi="Arial" w:cs="Arial"/>
          <w:sz w:val="20"/>
          <w:szCs w:val="20"/>
          <w:u w:val="single"/>
        </w:rPr>
        <w:t xml:space="preserve"> (three months ended </w:t>
      </w:r>
      <w:r w:rsidR="00570229" w:rsidRPr="00570229">
        <w:rPr>
          <w:rFonts w:ascii="Arial" w:hAnsi="Arial" w:cs="Arial"/>
          <w:sz w:val="20"/>
          <w:szCs w:val="20"/>
          <w:u w:val="single"/>
        </w:rPr>
        <w:t>December 31</w:t>
      </w:r>
      <w:r w:rsidRPr="00570229">
        <w:rPr>
          <w:rFonts w:ascii="Arial" w:hAnsi="Arial" w:cs="Arial"/>
          <w:sz w:val="20"/>
          <w:szCs w:val="20"/>
          <w:u w:val="single"/>
        </w:rPr>
        <w:t>, 2020– $</w:t>
      </w:r>
      <w:r w:rsidR="00570229" w:rsidRPr="00570229">
        <w:rPr>
          <w:rFonts w:ascii="Arial" w:hAnsi="Arial" w:cs="Arial"/>
          <w:sz w:val="20"/>
          <w:szCs w:val="20"/>
          <w:u w:val="single"/>
        </w:rPr>
        <w:t>592,127</w:t>
      </w:r>
      <w:r w:rsidRPr="00570229">
        <w:rPr>
          <w:rFonts w:ascii="Arial" w:hAnsi="Arial" w:cs="Arial"/>
          <w:sz w:val="20"/>
          <w:szCs w:val="20"/>
        </w:rPr>
        <w:t xml:space="preserve">). Salaries and benefits increased due to a change in a consulting contract to an employment relationship and </w:t>
      </w:r>
      <w:r w:rsidR="00570229" w:rsidRPr="00570229">
        <w:rPr>
          <w:rFonts w:ascii="Arial" w:hAnsi="Arial" w:cs="Arial"/>
          <w:sz w:val="20"/>
          <w:szCs w:val="20"/>
        </w:rPr>
        <w:t xml:space="preserve">an accrual for the 2021 incentive plan. </w:t>
      </w:r>
      <w:r w:rsidRPr="00570229">
        <w:rPr>
          <w:rFonts w:ascii="Arial" w:hAnsi="Arial" w:cs="Arial"/>
          <w:sz w:val="20"/>
          <w:szCs w:val="20"/>
        </w:rPr>
        <w:t xml:space="preserve"> </w:t>
      </w:r>
    </w:p>
    <w:p w14:paraId="40BF6656" w14:textId="77777777" w:rsidR="005B4532" w:rsidRPr="00570229" w:rsidRDefault="005B4532" w:rsidP="005B4532">
      <w:pPr>
        <w:keepNext/>
        <w:adjustRightInd w:val="0"/>
        <w:jc w:val="both"/>
        <w:rPr>
          <w:rFonts w:ascii="Arial" w:hAnsi="Arial" w:cs="Arial"/>
          <w:sz w:val="20"/>
          <w:szCs w:val="20"/>
        </w:rPr>
      </w:pPr>
    </w:p>
    <w:p w14:paraId="09C5BBF3" w14:textId="64DAB6B7" w:rsidR="005B4532" w:rsidRPr="00F01425" w:rsidRDefault="005B4532" w:rsidP="005B4532">
      <w:pPr>
        <w:keepNext/>
        <w:adjustRightInd w:val="0"/>
        <w:jc w:val="both"/>
        <w:rPr>
          <w:rFonts w:ascii="Arial" w:eastAsia="Times New Roman" w:hAnsi="Arial" w:cs="Arial"/>
          <w:bCs/>
          <w:sz w:val="20"/>
          <w:szCs w:val="20"/>
          <w:lang w:val="en-CA" w:eastAsia="zh-TW"/>
        </w:rPr>
      </w:pPr>
      <w:r w:rsidRPr="00570229">
        <w:rPr>
          <w:rFonts w:ascii="Arial" w:hAnsi="Arial" w:cs="Arial"/>
          <w:sz w:val="20"/>
          <w:szCs w:val="20"/>
          <w:u w:val="single"/>
        </w:rPr>
        <w:t xml:space="preserve">Share-based payments for the three months ended </w:t>
      </w:r>
      <w:r w:rsidR="00570229" w:rsidRPr="00570229">
        <w:rPr>
          <w:rFonts w:ascii="Arial" w:hAnsi="Arial" w:cs="Arial"/>
          <w:sz w:val="20"/>
          <w:szCs w:val="20"/>
          <w:u w:val="single"/>
        </w:rPr>
        <w:t>December 31</w:t>
      </w:r>
      <w:r w:rsidRPr="00570229">
        <w:rPr>
          <w:rFonts w:ascii="Arial" w:hAnsi="Arial" w:cs="Arial"/>
          <w:sz w:val="20"/>
          <w:szCs w:val="20"/>
          <w:u w:val="single"/>
        </w:rPr>
        <w:t xml:space="preserve">, </w:t>
      </w:r>
      <w:proofErr w:type="gramStart"/>
      <w:r w:rsidRPr="00570229">
        <w:rPr>
          <w:rFonts w:ascii="Arial" w:hAnsi="Arial" w:cs="Arial"/>
          <w:sz w:val="20"/>
          <w:szCs w:val="20"/>
          <w:u w:val="single"/>
        </w:rPr>
        <w:t>2021</w:t>
      </w:r>
      <w:proofErr w:type="gramEnd"/>
      <w:r w:rsidRPr="00570229">
        <w:rPr>
          <w:rFonts w:ascii="Arial" w:hAnsi="Arial" w:cs="Arial"/>
          <w:sz w:val="20"/>
          <w:szCs w:val="20"/>
          <w:u w:val="single"/>
        </w:rPr>
        <w:t xml:space="preserve"> $</w:t>
      </w:r>
      <w:r w:rsidR="00570229" w:rsidRPr="00570229">
        <w:rPr>
          <w:rFonts w:ascii="Arial" w:hAnsi="Arial" w:cs="Arial"/>
          <w:sz w:val="20"/>
          <w:szCs w:val="20"/>
          <w:u w:val="single"/>
        </w:rPr>
        <w:t>21,317</w:t>
      </w:r>
      <w:r w:rsidRPr="00570229">
        <w:rPr>
          <w:rFonts w:ascii="Arial" w:hAnsi="Arial" w:cs="Arial"/>
          <w:sz w:val="20"/>
          <w:szCs w:val="20"/>
          <w:u w:val="single"/>
        </w:rPr>
        <w:t xml:space="preserve"> (three months ended </w:t>
      </w:r>
      <w:r w:rsidR="00570229" w:rsidRPr="00570229">
        <w:rPr>
          <w:rFonts w:ascii="Arial" w:hAnsi="Arial" w:cs="Arial"/>
          <w:sz w:val="20"/>
          <w:szCs w:val="20"/>
          <w:u w:val="single"/>
        </w:rPr>
        <w:t>December 31</w:t>
      </w:r>
      <w:r w:rsidRPr="00570229">
        <w:rPr>
          <w:rFonts w:ascii="Arial" w:hAnsi="Arial" w:cs="Arial"/>
          <w:sz w:val="20"/>
          <w:szCs w:val="20"/>
          <w:u w:val="single"/>
        </w:rPr>
        <w:t>, 2020– $</w:t>
      </w:r>
      <w:r w:rsidR="00570229" w:rsidRPr="00570229">
        <w:rPr>
          <w:rFonts w:ascii="Arial" w:hAnsi="Arial" w:cs="Arial"/>
          <w:sz w:val="20"/>
          <w:szCs w:val="20"/>
          <w:u w:val="single"/>
        </w:rPr>
        <w:t>NIL</w:t>
      </w:r>
      <w:r w:rsidRPr="00570229">
        <w:rPr>
          <w:rFonts w:ascii="Arial" w:hAnsi="Arial" w:cs="Arial"/>
          <w:sz w:val="20"/>
          <w:szCs w:val="20"/>
          <w:u w:val="single"/>
        </w:rPr>
        <w:t>).</w:t>
      </w:r>
      <w:r w:rsidRPr="00570229">
        <w:rPr>
          <w:rFonts w:ascii="Arial" w:hAnsi="Arial" w:cs="Arial"/>
          <w:sz w:val="20"/>
          <w:szCs w:val="20"/>
        </w:rPr>
        <w:t xml:space="preserve"> </w:t>
      </w:r>
      <w:r w:rsidRPr="00570229">
        <w:rPr>
          <w:rFonts w:ascii="Arial" w:eastAsia="Times New Roman" w:hAnsi="Arial" w:cs="Arial"/>
          <w:bCs/>
          <w:sz w:val="20"/>
          <w:szCs w:val="20"/>
          <w:lang w:val="en-CA" w:eastAsia="zh-TW"/>
        </w:rPr>
        <w:t xml:space="preserve">The share-based payments </w:t>
      </w:r>
      <w:proofErr w:type="gramStart"/>
      <w:r w:rsidR="00963474" w:rsidRPr="00570229">
        <w:rPr>
          <w:rFonts w:ascii="Arial" w:eastAsia="Times New Roman" w:hAnsi="Arial" w:cs="Arial"/>
          <w:bCs/>
          <w:sz w:val="20"/>
          <w:szCs w:val="20"/>
          <w:lang w:val="en-CA" w:eastAsia="zh-TW"/>
        </w:rPr>
        <w:t>has</w:t>
      </w:r>
      <w:proofErr w:type="gramEnd"/>
      <w:r w:rsidR="00963474" w:rsidRPr="00570229">
        <w:rPr>
          <w:rFonts w:ascii="Arial" w:eastAsia="Times New Roman" w:hAnsi="Arial" w:cs="Arial"/>
          <w:bCs/>
          <w:sz w:val="20"/>
          <w:szCs w:val="20"/>
          <w:lang w:val="en-CA" w:eastAsia="zh-TW"/>
        </w:rPr>
        <w:t xml:space="preserve"> increased compared</w:t>
      </w:r>
      <w:r w:rsidRPr="00570229">
        <w:rPr>
          <w:rFonts w:ascii="Arial" w:eastAsia="Times New Roman" w:hAnsi="Arial" w:cs="Arial"/>
          <w:bCs/>
          <w:sz w:val="20"/>
          <w:szCs w:val="20"/>
          <w:lang w:val="en-CA" w:eastAsia="zh-TW"/>
        </w:rPr>
        <w:t xml:space="preserve"> to the prior period due to the vesting requirements of the options issued. Options are expensed over eighteen months as they </w:t>
      </w:r>
      <w:proofErr w:type="gramStart"/>
      <w:r w:rsidRPr="00570229">
        <w:rPr>
          <w:rFonts w:ascii="Arial" w:eastAsia="Times New Roman" w:hAnsi="Arial" w:cs="Arial"/>
          <w:bCs/>
          <w:sz w:val="20"/>
          <w:szCs w:val="20"/>
          <w:lang w:val="en-CA" w:eastAsia="zh-TW"/>
        </w:rPr>
        <w:t>vest</w:t>
      </w:r>
      <w:proofErr w:type="gramEnd"/>
      <w:r w:rsidR="00963474" w:rsidRPr="00570229">
        <w:rPr>
          <w:rFonts w:ascii="Arial" w:eastAsia="Times New Roman" w:hAnsi="Arial" w:cs="Arial"/>
          <w:bCs/>
          <w:sz w:val="20"/>
          <w:szCs w:val="20"/>
          <w:lang w:val="en-CA" w:eastAsia="zh-TW"/>
        </w:rPr>
        <w:t xml:space="preserve"> and options </w:t>
      </w:r>
      <w:r w:rsidR="00963474" w:rsidRPr="00F01425">
        <w:rPr>
          <w:rFonts w:ascii="Arial" w:eastAsia="Times New Roman" w:hAnsi="Arial" w:cs="Arial"/>
          <w:bCs/>
          <w:sz w:val="20"/>
          <w:szCs w:val="20"/>
          <w:lang w:val="en-CA" w:eastAsia="zh-TW"/>
        </w:rPr>
        <w:t>were issued in April of 2021.</w:t>
      </w:r>
    </w:p>
    <w:p w14:paraId="01C8106E" w14:textId="77777777" w:rsidR="005B4532" w:rsidRPr="00F01425" w:rsidRDefault="005B4532" w:rsidP="005B4532">
      <w:pPr>
        <w:keepNext/>
        <w:adjustRightInd w:val="0"/>
        <w:jc w:val="both"/>
        <w:rPr>
          <w:rFonts w:ascii="Arial" w:hAnsi="Arial" w:cs="Arial"/>
          <w:b/>
          <w:sz w:val="20"/>
          <w:szCs w:val="20"/>
          <w:lang w:eastAsia="zh-TW"/>
        </w:rPr>
      </w:pPr>
    </w:p>
    <w:p w14:paraId="2E15EA3C" w14:textId="259FFDD9" w:rsidR="005B4532" w:rsidRPr="00F01425" w:rsidRDefault="00570229" w:rsidP="005B4532">
      <w:pPr>
        <w:keepNext/>
        <w:adjustRightInd w:val="0"/>
        <w:jc w:val="both"/>
        <w:rPr>
          <w:rFonts w:ascii="Arial" w:hAnsi="Arial" w:cs="Arial"/>
          <w:b/>
          <w:sz w:val="20"/>
          <w:szCs w:val="20"/>
          <w:lang w:eastAsia="zh-TW"/>
        </w:rPr>
      </w:pPr>
      <w:r w:rsidRPr="00F01425">
        <w:rPr>
          <w:rFonts w:ascii="Arial" w:hAnsi="Arial" w:cs="Arial"/>
          <w:b/>
          <w:sz w:val="20"/>
          <w:szCs w:val="20"/>
          <w:lang w:eastAsia="zh-TW"/>
        </w:rPr>
        <w:t>Year</w:t>
      </w:r>
      <w:r w:rsidR="005B4532" w:rsidRPr="00F01425">
        <w:rPr>
          <w:rFonts w:ascii="Arial" w:hAnsi="Arial" w:cs="Arial"/>
          <w:b/>
          <w:sz w:val="20"/>
          <w:szCs w:val="20"/>
          <w:lang w:eastAsia="zh-TW"/>
        </w:rPr>
        <w:t xml:space="preserve"> Ended </w:t>
      </w:r>
      <w:r w:rsidRPr="00F01425">
        <w:rPr>
          <w:rFonts w:ascii="Arial" w:hAnsi="Arial" w:cs="Arial"/>
          <w:b/>
          <w:sz w:val="20"/>
          <w:szCs w:val="20"/>
          <w:lang w:eastAsia="zh-TW"/>
        </w:rPr>
        <w:t>December 31</w:t>
      </w:r>
      <w:r w:rsidR="005B4532" w:rsidRPr="00F01425">
        <w:rPr>
          <w:rFonts w:ascii="Arial" w:hAnsi="Arial" w:cs="Arial"/>
          <w:b/>
          <w:sz w:val="20"/>
          <w:szCs w:val="20"/>
          <w:lang w:eastAsia="zh-TW"/>
        </w:rPr>
        <w:t>, 2021</w:t>
      </w:r>
    </w:p>
    <w:p w14:paraId="19C7DE6F" w14:textId="77777777" w:rsidR="005B4532" w:rsidRPr="00F01425" w:rsidRDefault="005B4532" w:rsidP="005B4532">
      <w:pPr>
        <w:keepNext/>
        <w:adjustRightInd w:val="0"/>
        <w:jc w:val="both"/>
        <w:rPr>
          <w:rFonts w:ascii="Arial" w:hAnsi="Arial" w:cs="Arial"/>
          <w:bCs/>
          <w:sz w:val="20"/>
          <w:szCs w:val="20"/>
          <w:lang w:eastAsia="zh-TW"/>
        </w:rPr>
      </w:pPr>
    </w:p>
    <w:p w14:paraId="23AD0B9D" w14:textId="26DAC0C6" w:rsidR="005B4532" w:rsidRPr="00F01425" w:rsidRDefault="005B4532" w:rsidP="005B4532">
      <w:pPr>
        <w:keepNext/>
        <w:adjustRightInd w:val="0"/>
        <w:jc w:val="both"/>
        <w:rPr>
          <w:rFonts w:ascii="Arial" w:hAnsi="Arial" w:cs="Arial"/>
          <w:sz w:val="20"/>
          <w:szCs w:val="20"/>
        </w:rPr>
      </w:pPr>
      <w:r w:rsidRPr="00F01425">
        <w:rPr>
          <w:rFonts w:ascii="Arial" w:hAnsi="Arial" w:cs="Arial"/>
          <w:bCs/>
          <w:sz w:val="20"/>
          <w:szCs w:val="20"/>
          <w:lang w:eastAsia="zh-TW"/>
        </w:rPr>
        <w:t xml:space="preserve">Revenue for the </w:t>
      </w:r>
      <w:r w:rsidR="00F01425" w:rsidRPr="00F01425">
        <w:rPr>
          <w:rFonts w:ascii="Arial" w:hAnsi="Arial" w:cs="Arial"/>
          <w:bCs/>
          <w:sz w:val="20"/>
          <w:szCs w:val="20"/>
          <w:lang w:eastAsia="zh-TW"/>
        </w:rPr>
        <w:t xml:space="preserve">year </w:t>
      </w:r>
      <w:r w:rsidRPr="00F01425">
        <w:rPr>
          <w:rFonts w:ascii="Arial" w:hAnsi="Arial" w:cs="Arial"/>
          <w:bCs/>
          <w:sz w:val="20"/>
          <w:szCs w:val="20"/>
          <w:lang w:eastAsia="zh-TW"/>
        </w:rPr>
        <w:t xml:space="preserve">ended </w:t>
      </w:r>
      <w:r w:rsidR="00F01425" w:rsidRPr="00F01425">
        <w:rPr>
          <w:rFonts w:ascii="Arial" w:hAnsi="Arial" w:cs="Arial"/>
          <w:bCs/>
          <w:sz w:val="20"/>
          <w:szCs w:val="20"/>
          <w:lang w:eastAsia="zh-TW"/>
        </w:rPr>
        <w:t>December 31</w:t>
      </w:r>
      <w:r w:rsidRPr="00F01425">
        <w:rPr>
          <w:rFonts w:ascii="Arial" w:hAnsi="Arial" w:cs="Arial"/>
          <w:bCs/>
          <w:sz w:val="20"/>
          <w:szCs w:val="20"/>
          <w:lang w:eastAsia="zh-TW"/>
        </w:rPr>
        <w:t xml:space="preserve">, </w:t>
      </w:r>
      <w:proofErr w:type="gramStart"/>
      <w:r w:rsidRPr="00F01425">
        <w:rPr>
          <w:rFonts w:ascii="Arial" w:hAnsi="Arial" w:cs="Arial"/>
          <w:bCs/>
          <w:sz w:val="20"/>
          <w:szCs w:val="20"/>
          <w:lang w:eastAsia="zh-TW"/>
        </w:rPr>
        <w:t>2021</w:t>
      </w:r>
      <w:proofErr w:type="gramEnd"/>
      <w:r w:rsidRPr="00F01425">
        <w:rPr>
          <w:rFonts w:ascii="Arial" w:hAnsi="Arial" w:cs="Arial"/>
          <w:bCs/>
          <w:sz w:val="20"/>
          <w:szCs w:val="20"/>
          <w:lang w:eastAsia="zh-TW"/>
        </w:rPr>
        <w:t xml:space="preserve"> was $</w:t>
      </w:r>
      <w:r w:rsidR="00F01425" w:rsidRPr="00F01425">
        <w:rPr>
          <w:rFonts w:ascii="Arial" w:hAnsi="Arial" w:cs="Arial"/>
          <w:bCs/>
          <w:sz w:val="20"/>
          <w:szCs w:val="20"/>
          <w:lang w:eastAsia="zh-TW"/>
        </w:rPr>
        <w:t>54,997,862</w:t>
      </w:r>
      <w:r w:rsidRPr="00F01425">
        <w:rPr>
          <w:rFonts w:ascii="Arial" w:hAnsi="Arial" w:cs="Arial"/>
          <w:bCs/>
          <w:sz w:val="20"/>
          <w:szCs w:val="20"/>
          <w:lang w:eastAsia="zh-TW"/>
        </w:rPr>
        <w:t xml:space="preserve"> compared to revenue of $</w:t>
      </w:r>
      <w:r w:rsidR="00F01425" w:rsidRPr="00F01425">
        <w:rPr>
          <w:rFonts w:ascii="Arial" w:hAnsi="Arial" w:cs="Arial"/>
          <w:bCs/>
          <w:sz w:val="20"/>
          <w:szCs w:val="20"/>
          <w:lang w:eastAsia="zh-TW"/>
        </w:rPr>
        <w:t>35,734,415</w:t>
      </w:r>
      <w:r w:rsidRPr="00F01425">
        <w:rPr>
          <w:rFonts w:ascii="Arial" w:hAnsi="Arial" w:cs="Arial"/>
          <w:bCs/>
          <w:sz w:val="20"/>
          <w:szCs w:val="20"/>
          <w:lang w:eastAsia="zh-TW"/>
        </w:rPr>
        <w:t xml:space="preserve"> for the </w:t>
      </w:r>
      <w:r w:rsidR="00F01425" w:rsidRPr="00F01425">
        <w:rPr>
          <w:rFonts w:ascii="Arial" w:hAnsi="Arial" w:cs="Arial"/>
          <w:bCs/>
          <w:sz w:val="20"/>
          <w:szCs w:val="20"/>
          <w:lang w:eastAsia="zh-TW"/>
        </w:rPr>
        <w:t>year</w:t>
      </w:r>
      <w:r w:rsidRPr="00F01425">
        <w:rPr>
          <w:rFonts w:ascii="Arial" w:hAnsi="Arial" w:cs="Arial"/>
          <w:bCs/>
          <w:sz w:val="20"/>
          <w:szCs w:val="20"/>
          <w:lang w:eastAsia="zh-TW"/>
        </w:rPr>
        <w:t xml:space="preserve"> ended </w:t>
      </w:r>
      <w:r w:rsidR="00F01425" w:rsidRPr="00F01425">
        <w:rPr>
          <w:rFonts w:ascii="Arial" w:hAnsi="Arial" w:cs="Arial"/>
          <w:bCs/>
          <w:sz w:val="20"/>
          <w:szCs w:val="20"/>
          <w:lang w:eastAsia="zh-TW"/>
        </w:rPr>
        <w:t>December 31</w:t>
      </w:r>
      <w:r w:rsidRPr="00F01425">
        <w:rPr>
          <w:rFonts w:ascii="Arial" w:hAnsi="Arial" w:cs="Arial"/>
          <w:bCs/>
          <w:sz w:val="20"/>
          <w:szCs w:val="20"/>
          <w:lang w:eastAsia="zh-TW"/>
        </w:rPr>
        <w:t xml:space="preserve">, 2020. </w:t>
      </w:r>
      <w:r w:rsidRPr="00F01425">
        <w:rPr>
          <w:rFonts w:ascii="Arial" w:hAnsi="Arial" w:cs="Arial"/>
          <w:sz w:val="20"/>
          <w:szCs w:val="20"/>
        </w:rPr>
        <w:t xml:space="preserve">Revenue has increased due to organic growth through product line expansion in engineered wood products and wall panels and the addition of Novum which was </w:t>
      </w:r>
      <w:r w:rsidR="00963474" w:rsidRPr="00F01425">
        <w:rPr>
          <w:rFonts w:ascii="Arial" w:hAnsi="Arial" w:cs="Arial"/>
          <w:sz w:val="20"/>
          <w:szCs w:val="20"/>
        </w:rPr>
        <w:t xml:space="preserve">only part of the group since July 20, </w:t>
      </w:r>
      <w:proofErr w:type="gramStart"/>
      <w:r w:rsidR="00963474" w:rsidRPr="00F01425">
        <w:rPr>
          <w:rFonts w:ascii="Arial" w:hAnsi="Arial" w:cs="Arial"/>
          <w:sz w:val="20"/>
          <w:szCs w:val="20"/>
        </w:rPr>
        <w:t>2020</w:t>
      </w:r>
      <w:proofErr w:type="gramEnd"/>
      <w:r w:rsidR="00963474" w:rsidRPr="00F01425">
        <w:rPr>
          <w:rFonts w:ascii="Arial" w:hAnsi="Arial" w:cs="Arial"/>
          <w:sz w:val="20"/>
          <w:szCs w:val="20"/>
        </w:rPr>
        <w:t xml:space="preserve"> for the comparative period</w:t>
      </w:r>
      <w:r w:rsidRPr="00F01425">
        <w:rPr>
          <w:rFonts w:ascii="Arial" w:hAnsi="Arial" w:cs="Arial"/>
          <w:sz w:val="20"/>
          <w:szCs w:val="20"/>
        </w:rPr>
        <w:t>. Additionally, sales pricing</w:t>
      </w:r>
      <w:r w:rsidR="005D55A5" w:rsidRPr="00F01425">
        <w:rPr>
          <w:rFonts w:ascii="Arial" w:hAnsi="Arial" w:cs="Arial"/>
          <w:sz w:val="20"/>
          <w:szCs w:val="20"/>
        </w:rPr>
        <w:t xml:space="preserve"> during the period</w:t>
      </w:r>
      <w:r w:rsidRPr="00F01425">
        <w:rPr>
          <w:rFonts w:ascii="Arial" w:hAnsi="Arial" w:cs="Arial"/>
          <w:sz w:val="20"/>
          <w:szCs w:val="20"/>
        </w:rPr>
        <w:t xml:space="preserve"> was adjusted to </w:t>
      </w:r>
      <w:r w:rsidR="005D55A5" w:rsidRPr="00F01425">
        <w:rPr>
          <w:rFonts w:ascii="Arial" w:hAnsi="Arial" w:cs="Arial"/>
          <w:sz w:val="20"/>
          <w:szCs w:val="20"/>
        </w:rPr>
        <w:t xml:space="preserve">reflect </w:t>
      </w:r>
      <w:r w:rsidRPr="00F01425">
        <w:rPr>
          <w:rFonts w:ascii="Arial" w:hAnsi="Arial" w:cs="Arial"/>
          <w:sz w:val="20"/>
          <w:szCs w:val="20"/>
        </w:rPr>
        <w:t xml:space="preserve">sharply rising raw material costs, which has resulted in higher sales values. </w:t>
      </w:r>
      <w:r w:rsidR="004B6F55" w:rsidRPr="00F01425">
        <w:rPr>
          <w:rFonts w:ascii="Arial" w:hAnsi="Arial" w:cs="Arial"/>
          <w:sz w:val="20"/>
          <w:szCs w:val="20"/>
        </w:rPr>
        <w:t>As the Company passes through the cost of raw materials in its product pricing, overall revenues may fluctuate somewhat with the price of raw materials.</w:t>
      </w:r>
    </w:p>
    <w:p w14:paraId="40A33DDB" w14:textId="77777777" w:rsidR="005B4532" w:rsidRPr="00F01425" w:rsidRDefault="005B4532" w:rsidP="005B4532">
      <w:pPr>
        <w:keepNext/>
        <w:adjustRightInd w:val="0"/>
        <w:jc w:val="both"/>
        <w:rPr>
          <w:rFonts w:ascii="Arial" w:hAnsi="Arial" w:cs="Arial"/>
          <w:bCs/>
          <w:sz w:val="20"/>
          <w:szCs w:val="20"/>
          <w:lang w:eastAsia="zh-TW"/>
        </w:rPr>
      </w:pPr>
    </w:p>
    <w:p w14:paraId="5188E0C3" w14:textId="7DABE38C" w:rsidR="005B4532" w:rsidRPr="00F01425" w:rsidRDefault="005B4532" w:rsidP="005B4532">
      <w:pPr>
        <w:keepNext/>
        <w:adjustRightInd w:val="0"/>
        <w:jc w:val="both"/>
        <w:rPr>
          <w:rFonts w:ascii="Arial" w:hAnsi="Arial" w:cs="Arial"/>
          <w:sz w:val="20"/>
          <w:szCs w:val="20"/>
        </w:rPr>
      </w:pPr>
      <w:r w:rsidRPr="00F01425">
        <w:rPr>
          <w:rFonts w:ascii="Arial" w:hAnsi="Arial" w:cs="Arial"/>
          <w:bCs/>
          <w:sz w:val="20"/>
          <w:szCs w:val="20"/>
          <w:lang w:eastAsia="zh-TW"/>
        </w:rPr>
        <w:t xml:space="preserve">Cost of sales for the </w:t>
      </w:r>
      <w:r w:rsidR="00F01425" w:rsidRPr="00F01425">
        <w:rPr>
          <w:rFonts w:ascii="Arial" w:hAnsi="Arial" w:cs="Arial"/>
          <w:bCs/>
          <w:sz w:val="20"/>
          <w:szCs w:val="20"/>
          <w:lang w:eastAsia="zh-TW"/>
        </w:rPr>
        <w:t>year</w:t>
      </w:r>
      <w:r w:rsidRPr="00F01425">
        <w:rPr>
          <w:rFonts w:ascii="Arial" w:hAnsi="Arial" w:cs="Arial"/>
          <w:bCs/>
          <w:sz w:val="20"/>
          <w:szCs w:val="20"/>
          <w:lang w:eastAsia="zh-TW"/>
        </w:rPr>
        <w:t xml:space="preserve"> ended </w:t>
      </w:r>
      <w:r w:rsidR="00F01425" w:rsidRPr="00F01425">
        <w:rPr>
          <w:rFonts w:ascii="Arial" w:hAnsi="Arial" w:cs="Arial"/>
          <w:bCs/>
          <w:sz w:val="20"/>
          <w:szCs w:val="20"/>
          <w:lang w:eastAsia="zh-TW"/>
        </w:rPr>
        <w:t>December 31</w:t>
      </w:r>
      <w:r w:rsidRPr="00F01425">
        <w:rPr>
          <w:rFonts w:ascii="Arial" w:hAnsi="Arial" w:cs="Arial"/>
          <w:bCs/>
          <w:sz w:val="20"/>
          <w:szCs w:val="20"/>
          <w:lang w:eastAsia="zh-TW"/>
        </w:rPr>
        <w:t xml:space="preserve">, </w:t>
      </w:r>
      <w:proofErr w:type="gramStart"/>
      <w:r w:rsidRPr="00F01425">
        <w:rPr>
          <w:rFonts w:ascii="Arial" w:hAnsi="Arial" w:cs="Arial"/>
          <w:bCs/>
          <w:sz w:val="20"/>
          <w:szCs w:val="20"/>
          <w:lang w:eastAsia="zh-TW"/>
        </w:rPr>
        <w:t>2021</w:t>
      </w:r>
      <w:proofErr w:type="gramEnd"/>
      <w:r w:rsidRPr="00F01425">
        <w:rPr>
          <w:rFonts w:ascii="Arial" w:hAnsi="Arial" w:cs="Arial"/>
          <w:bCs/>
          <w:sz w:val="20"/>
          <w:szCs w:val="20"/>
          <w:lang w:eastAsia="zh-TW"/>
        </w:rPr>
        <w:t xml:space="preserve"> was $</w:t>
      </w:r>
      <w:r w:rsidR="00F01425" w:rsidRPr="00F01425">
        <w:rPr>
          <w:rFonts w:ascii="Arial" w:hAnsi="Arial" w:cs="Arial"/>
          <w:bCs/>
          <w:sz w:val="20"/>
          <w:szCs w:val="20"/>
          <w:lang w:eastAsia="zh-TW"/>
        </w:rPr>
        <w:t>38,844,926</w:t>
      </w:r>
      <w:r w:rsidRPr="00F01425">
        <w:rPr>
          <w:rFonts w:ascii="Arial" w:hAnsi="Arial" w:cs="Arial"/>
          <w:bCs/>
          <w:sz w:val="20"/>
          <w:szCs w:val="20"/>
          <w:lang w:eastAsia="zh-TW"/>
        </w:rPr>
        <w:t xml:space="preserve"> compared to $</w:t>
      </w:r>
      <w:r w:rsidR="00F01425" w:rsidRPr="00F01425">
        <w:rPr>
          <w:rFonts w:ascii="Arial" w:hAnsi="Arial" w:cs="Arial"/>
          <w:bCs/>
          <w:sz w:val="20"/>
          <w:szCs w:val="20"/>
          <w:lang w:eastAsia="zh-TW"/>
        </w:rPr>
        <w:t>28,437,395</w:t>
      </w:r>
      <w:r w:rsidRPr="00F01425">
        <w:rPr>
          <w:rFonts w:ascii="Arial" w:hAnsi="Arial" w:cs="Arial"/>
          <w:bCs/>
          <w:sz w:val="20"/>
          <w:szCs w:val="20"/>
          <w:lang w:eastAsia="zh-TW"/>
        </w:rPr>
        <w:t xml:space="preserve"> for the </w:t>
      </w:r>
      <w:r w:rsidR="00F01425" w:rsidRPr="00F01425">
        <w:rPr>
          <w:rFonts w:ascii="Arial" w:hAnsi="Arial" w:cs="Arial"/>
          <w:bCs/>
          <w:sz w:val="20"/>
          <w:szCs w:val="20"/>
          <w:lang w:eastAsia="zh-TW"/>
        </w:rPr>
        <w:t>year</w:t>
      </w:r>
      <w:r w:rsidRPr="00F01425">
        <w:rPr>
          <w:rFonts w:ascii="Arial" w:hAnsi="Arial" w:cs="Arial"/>
          <w:bCs/>
          <w:sz w:val="20"/>
          <w:szCs w:val="20"/>
          <w:lang w:eastAsia="zh-TW"/>
        </w:rPr>
        <w:t xml:space="preserve"> ended </w:t>
      </w:r>
      <w:r w:rsidR="00F01425" w:rsidRPr="00F01425">
        <w:rPr>
          <w:rFonts w:ascii="Arial" w:hAnsi="Arial" w:cs="Arial"/>
          <w:bCs/>
          <w:sz w:val="20"/>
          <w:szCs w:val="20"/>
          <w:lang w:eastAsia="zh-TW"/>
        </w:rPr>
        <w:t>December 31</w:t>
      </w:r>
      <w:r w:rsidRPr="00F01425">
        <w:rPr>
          <w:rFonts w:ascii="Arial" w:hAnsi="Arial" w:cs="Arial"/>
          <w:bCs/>
          <w:sz w:val="20"/>
          <w:szCs w:val="20"/>
          <w:lang w:eastAsia="zh-TW"/>
        </w:rPr>
        <w:t xml:space="preserve">, 2020. </w:t>
      </w:r>
      <w:r w:rsidRPr="00F01425">
        <w:rPr>
          <w:rFonts w:ascii="Arial" w:hAnsi="Arial" w:cs="Arial"/>
          <w:sz w:val="20"/>
          <w:szCs w:val="20"/>
        </w:rPr>
        <w:t xml:space="preserve">Cost of sales has increased primarily due to the increase in sales compared to the prior period. Additionally, there has been </w:t>
      </w:r>
      <w:r w:rsidR="00C31200" w:rsidRPr="00F01425">
        <w:rPr>
          <w:rFonts w:ascii="Arial" w:hAnsi="Arial" w:cs="Arial"/>
          <w:sz w:val="20"/>
          <w:szCs w:val="20"/>
        </w:rPr>
        <w:t xml:space="preserve">higher </w:t>
      </w:r>
      <w:r w:rsidRPr="00F01425">
        <w:rPr>
          <w:rFonts w:ascii="Arial" w:hAnsi="Arial" w:cs="Arial"/>
          <w:sz w:val="20"/>
          <w:szCs w:val="20"/>
        </w:rPr>
        <w:t>raw material costs, new product lines have been established, and the acquisition of Novum in July of 2020, which added sales and related costs.</w:t>
      </w:r>
    </w:p>
    <w:p w14:paraId="0B236964" w14:textId="77777777" w:rsidR="005B4532" w:rsidRPr="00F01425" w:rsidRDefault="005B4532" w:rsidP="005B4532">
      <w:pPr>
        <w:keepNext/>
        <w:adjustRightInd w:val="0"/>
        <w:jc w:val="both"/>
        <w:rPr>
          <w:rFonts w:ascii="Arial" w:hAnsi="Arial" w:cs="Arial"/>
          <w:bCs/>
          <w:sz w:val="20"/>
          <w:szCs w:val="20"/>
          <w:lang w:eastAsia="zh-TW"/>
        </w:rPr>
      </w:pPr>
    </w:p>
    <w:p w14:paraId="688EDEEB" w14:textId="1E3CA63F" w:rsidR="005B4532" w:rsidRPr="00F01425" w:rsidRDefault="009A6446" w:rsidP="005B4532">
      <w:pPr>
        <w:keepNext/>
        <w:adjustRightInd w:val="0"/>
        <w:jc w:val="both"/>
        <w:rPr>
          <w:rFonts w:ascii="Arial" w:hAnsi="Arial" w:cs="Arial"/>
          <w:sz w:val="20"/>
          <w:szCs w:val="20"/>
        </w:rPr>
      </w:pPr>
      <w:r w:rsidRPr="00F01425">
        <w:rPr>
          <w:rFonts w:ascii="Arial" w:hAnsi="Arial" w:cs="Arial"/>
          <w:sz w:val="20"/>
          <w:szCs w:val="20"/>
        </w:rPr>
        <w:t xml:space="preserve">Gross profit for the </w:t>
      </w:r>
      <w:r w:rsidR="00F01425" w:rsidRPr="00F01425">
        <w:rPr>
          <w:rFonts w:ascii="Arial" w:hAnsi="Arial" w:cs="Arial"/>
          <w:sz w:val="20"/>
          <w:szCs w:val="20"/>
        </w:rPr>
        <w:t>year</w:t>
      </w:r>
      <w:r w:rsidRPr="00F01425">
        <w:rPr>
          <w:rFonts w:ascii="Arial" w:hAnsi="Arial" w:cs="Arial"/>
          <w:sz w:val="20"/>
          <w:szCs w:val="20"/>
        </w:rPr>
        <w:t xml:space="preserve"> ended </w:t>
      </w:r>
      <w:r w:rsidR="00F01425" w:rsidRPr="00F01425">
        <w:rPr>
          <w:rFonts w:ascii="Arial" w:hAnsi="Arial" w:cs="Arial"/>
          <w:sz w:val="20"/>
          <w:szCs w:val="20"/>
        </w:rPr>
        <w:t>December 31</w:t>
      </w:r>
      <w:r w:rsidRPr="00F01425">
        <w:rPr>
          <w:rFonts w:ascii="Arial" w:hAnsi="Arial" w:cs="Arial"/>
          <w:sz w:val="20"/>
          <w:szCs w:val="20"/>
        </w:rPr>
        <w:t xml:space="preserve">, </w:t>
      </w:r>
      <w:proofErr w:type="gramStart"/>
      <w:r w:rsidRPr="00F01425">
        <w:rPr>
          <w:rFonts w:ascii="Arial" w:hAnsi="Arial" w:cs="Arial"/>
          <w:sz w:val="20"/>
          <w:szCs w:val="20"/>
        </w:rPr>
        <w:t>2021</w:t>
      </w:r>
      <w:proofErr w:type="gramEnd"/>
      <w:r w:rsidRPr="00F01425">
        <w:rPr>
          <w:rFonts w:ascii="Arial" w:hAnsi="Arial" w:cs="Arial"/>
          <w:sz w:val="20"/>
          <w:szCs w:val="20"/>
        </w:rPr>
        <w:t xml:space="preserve"> was $</w:t>
      </w:r>
      <w:r w:rsidR="00F01425" w:rsidRPr="00F01425">
        <w:rPr>
          <w:rFonts w:ascii="Arial" w:hAnsi="Arial" w:cs="Arial"/>
          <w:sz w:val="20"/>
          <w:szCs w:val="20"/>
        </w:rPr>
        <w:t>16,152,936</w:t>
      </w:r>
      <w:r w:rsidRPr="00F01425">
        <w:rPr>
          <w:rFonts w:ascii="Arial" w:hAnsi="Arial" w:cs="Arial"/>
          <w:sz w:val="20"/>
          <w:szCs w:val="20"/>
        </w:rPr>
        <w:t xml:space="preserve"> compared to $</w:t>
      </w:r>
      <w:r w:rsidR="00F01425" w:rsidRPr="00F01425">
        <w:rPr>
          <w:rFonts w:ascii="Arial" w:hAnsi="Arial" w:cs="Arial"/>
          <w:sz w:val="20"/>
          <w:szCs w:val="20"/>
        </w:rPr>
        <w:t>7,297,020</w:t>
      </w:r>
      <w:r w:rsidRPr="00F01425">
        <w:rPr>
          <w:rFonts w:ascii="Arial" w:hAnsi="Arial" w:cs="Arial"/>
          <w:sz w:val="20"/>
          <w:szCs w:val="20"/>
        </w:rPr>
        <w:t xml:space="preserve"> for the </w:t>
      </w:r>
      <w:r w:rsidR="00F01425" w:rsidRPr="00F01425">
        <w:rPr>
          <w:rFonts w:ascii="Arial" w:hAnsi="Arial" w:cs="Arial"/>
          <w:sz w:val="20"/>
          <w:szCs w:val="20"/>
        </w:rPr>
        <w:t>year</w:t>
      </w:r>
      <w:r w:rsidRPr="00F01425">
        <w:rPr>
          <w:rFonts w:ascii="Arial" w:hAnsi="Arial" w:cs="Arial"/>
          <w:sz w:val="20"/>
          <w:szCs w:val="20"/>
        </w:rPr>
        <w:t xml:space="preserve"> ended </w:t>
      </w:r>
      <w:r w:rsidR="00F01425" w:rsidRPr="00F01425">
        <w:rPr>
          <w:rFonts w:ascii="Arial" w:hAnsi="Arial" w:cs="Arial"/>
          <w:sz w:val="20"/>
          <w:szCs w:val="20"/>
        </w:rPr>
        <w:t>December 31</w:t>
      </w:r>
      <w:r w:rsidRPr="00F01425">
        <w:rPr>
          <w:rFonts w:ascii="Arial" w:hAnsi="Arial" w:cs="Arial"/>
          <w:sz w:val="20"/>
          <w:szCs w:val="20"/>
        </w:rPr>
        <w:t xml:space="preserve">, 2020. </w:t>
      </w:r>
      <w:r w:rsidR="005B4532" w:rsidRPr="00F01425">
        <w:rPr>
          <w:rFonts w:ascii="Arial" w:hAnsi="Arial" w:cs="Arial"/>
          <w:bCs/>
          <w:sz w:val="20"/>
          <w:szCs w:val="20"/>
          <w:lang w:eastAsia="zh-TW"/>
        </w:rPr>
        <w:t xml:space="preserve">Gross margin for the </w:t>
      </w:r>
      <w:r w:rsidR="00F01425" w:rsidRPr="00F01425">
        <w:rPr>
          <w:rFonts w:ascii="Arial" w:hAnsi="Arial" w:cs="Arial"/>
          <w:bCs/>
          <w:sz w:val="20"/>
          <w:szCs w:val="20"/>
          <w:lang w:eastAsia="zh-TW"/>
        </w:rPr>
        <w:t>year</w:t>
      </w:r>
      <w:r w:rsidR="005B4532" w:rsidRPr="00F01425">
        <w:rPr>
          <w:rFonts w:ascii="Arial" w:hAnsi="Arial" w:cs="Arial"/>
          <w:bCs/>
          <w:sz w:val="20"/>
          <w:szCs w:val="20"/>
          <w:lang w:eastAsia="zh-TW"/>
        </w:rPr>
        <w:t xml:space="preserve"> ended </w:t>
      </w:r>
      <w:r w:rsidR="00F01425" w:rsidRPr="00F01425">
        <w:rPr>
          <w:rFonts w:ascii="Arial" w:hAnsi="Arial" w:cs="Arial"/>
          <w:bCs/>
          <w:sz w:val="20"/>
          <w:szCs w:val="20"/>
          <w:lang w:eastAsia="zh-TW"/>
        </w:rPr>
        <w:t>December 31</w:t>
      </w:r>
      <w:r w:rsidR="005B4532" w:rsidRPr="00F01425">
        <w:rPr>
          <w:rFonts w:ascii="Arial" w:hAnsi="Arial" w:cs="Arial"/>
          <w:bCs/>
          <w:sz w:val="20"/>
          <w:szCs w:val="20"/>
          <w:lang w:eastAsia="zh-TW"/>
        </w:rPr>
        <w:t xml:space="preserve">, </w:t>
      </w:r>
      <w:proofErr w:type="gramStart"/>
      <w:r w:rsidR="005B4532" w:rsidRPr="00F01425">
        <w:rPr>
          <w:rFonts w:ascii="Arial" w:hAnsi="Arial" w:cs="Arial"/>
          <w:bCs/>
          <w:sz w:val="20"/>
          <w:szCs w:val="20"/>
          <w:lang w:eastAsia="zh-TW"/>
        </w:rPr>
        <w:t>2021</w:t>
      </w:r>
      <w:proofErr w:type="gramEnd"/>
      <w:r w:rsidR="005B4532" w:rsidRPr="00F01425">
        <w:rPr>
          <w:rFonts w:ascii="Arial" w:hAnsi="Arial" w:cs="Arial"/>
          <w:bCs/>
          <w:sz w:val="20"/>
          <w:szCs w:val="20"/>
          <w:lang w:eastAsia="zh-TW"/>
        </w:rPr>
        <w:t xml:space="preserve"> was 2</w:t>
      </w:r>
      <w:r w:rsidR="00F01425" w:rsidRPr="00F01425">
        <w:rPr>
          <w:rFonts w:ascii="Arial" w:hAnsi="Arial" w:cs="Arial"/>
          <w:bCs/>
          <w:sz w:val="20"/>
          <w:szCs w:val="20"/>
          <w:lang w:eastAsia="zh-TW"/>
        </w:rPr>
        <w:t>9</w:t>
      </w:r>
      <w:r w:rsidR="005B4532" w:rsidRPr="00F01425">
        <w:rPr>
          <w:rFonts w:ascii="Arial" w:hAnsi="Arial" w:cs="Arial"/>
          <w:bCs/>
          <w:sz w:val="20"/>
          <w:szCs w:val="20"/>
          <w:lang w:eastAsia="zh-TW"/>
        </w:rPr>
        <w:t>%, which is higher than gross margin of 2</w:t>
      </w:r>
      <w:r w:rsidR="00F01425" w:rsidRPr="00F01425">
        <w:rPr>
          <w:rFonts w:ascii="Arial" w:hAnsi="Arial" w:cs="Arial"/>
          <w:bCs/>
          <w:sz w:val="20"/>
          <w:szCs w:val="20"/>
          <w:lang w:eastAsia="zh-TW"/>
        </w:rPr>
        <w:t>0</w:t>
      </w:r>
      <w:r w:rsidR="005B4532" w:rsidRPr="00F01425">
        <w:rPr>
          <w:rFonts w:ascii="Arial" w:hAnsi="Arial" w:cs="Arial"/>
          <w:bCs/>
          <w:sz w:val="20"/>
          <w:szCs w:val="20"/>
          <w:lang w:eastAsia="zh-TW"/>
        </w:rPr>
        <w:t xml:space="preserve">% for the </w:t>
      </w:r>
      <w:r w:rsidR="00F01425" w:rsidRPr="00F01425">
        <w:rPr>
          <w:rFonts w:ascii="Arial" w:hAnsi="Arial" w:cs="Arial"/>
          <w:bCs/>
          <w:sz w:val="20"/>
          <w:szCs w:val="20"/>
          <w:lang w:eastAsia="zh-TW"/>
        </w:rPr>
        <w:t>year</w:t>
      </w:r>
      <w:r w:rsidR="005B4532" w:rsidRPr="00F01425">
        <w:rPr>
          <w:rFonts w:ascii="Arial" w:hAnsi="Arial" w:cs="Arial"/>
          <w:bCs/>
          <w:sz w:val="20"/>
          <w:szCs w:val="20"/>
          <w:lang w:eastAsia="zh-TW"/>
        </w:rPr>
        <w:t xml:space="preserve"> ended </w:t>
      </w:r>
      <w:r w:rsidR="00F01425" w:rsidRPr="00F01425">
        <w:rPr>
          <w:rFonts w:ascii="Arial" w:hAnsi="Arial" w:cs="Arial"/>
          <w:bCs/>
          <w:sz w:val="20"/>
          <w:szCs w:val="20"/>
          <w:lang w:eastAsia="zh-TW"/>
        </w:rPr>
        <w:t>December 31</w:t>
      </w:r>
      <w:r w:rsidR="005B4532" w:rsidRPr="00F01425">
        <w:rPr>
          <w:rFonts w:ascii="Arial" w:hAnsi="Arial" w:cs="Arial"/>
          <w:bCs/>
          <w:sz w:val="20"/>
          <w:szCs w:val="20"/>
          <w:lang w:eastAsia="zh-TW"/>
        </w:rPr>
        <w:t xml:space="preserve">, 2020. </w:t>
      </w:r>
      <w:r w:rsidR="005B4532" w:rsidRPr="00F01425">
        <w:rPr>
          <w:rFonts w:ascii="Arial" w:hAnsi="Arial" w:cs="Arial"/>
          <w:sz w:val="20"/>
          <w:szCs w:val="20"/>
        </w:rPr>
        <w:t xml:space="preserve">Gross </w:t>
      </w:r>
      <w:r w:rsidRPr="00F01425">
        <w:rPr>
          <w:rFonts w:ascii="Arial" w:hAnsi="Arial" w:cs="Arial"/>
          <w:sz w:val="20"/>
          <w:szCs w:val="20"/>
        </w:rPr>
        <w:t xml:space="preserve">profits and </w:t>
      </w:r>
      <w:r w:rsidR="005B4532" w:rsidRPr="00F01425">
        <w:rPr>
          <w:rFonts w:ascii="Arial" w:hAnsi="Arial" w:cs="Arial"/>
          <w:sz w:val="20"/>
          <w:szCs w:val="20"/>
        </w:rPr>
        <w:t>margins increased due to pricing assessments and updates being completed at all locations</w:t>
      </w:r>
      <w:r w:rsidR="004776C8" w:rsidRPr="00F01425">
        <w:rPr>
          <w:rFonts w:ascii="Arial" w:hAnsi="Arial" w:cs="Arial"/>
          <w:sz w:val="20"/>
          <w:szCs w:val="20"/>
        </w:rPr>
        <w:t xml:space="preserve"> as raw material prices fluctuated. </w:t>
      </w:r>
      <w:r w:rsidR="005B4532" w:rsidRPr="00F01425">
        <w:rPr>
          <w:rFonts w:ascii="Arial" w:hAnsi="Arial" w:cs="Arial"/>
          <w:sz w:val="20"/>
          <w:szCs w:val="20"/>
        </w:rPr>
        <w:t xml:space="preserve">Additionally, the Company has also focused on improving efficiencies on new product lines and new acquisitions, </w:t>
      </w:r>
      <w:proofErr w:type="gramStart"/>
      <w:r w:rsidR="005B4532" w:rsidRPr="00F01425">
        <w:rPr>
          <w:rFonts w:ascii="Arial" w:hAnsi="Arial" w:cs="Arial"/>
          <w:sz w:val="20"/>
          <w:szCs w:val="20"/>
        </w:rPr>
        <w:t>as well as,</w:t>
      </w:r>
      <w:proofErr w:type="gramEnd"/>
      <w:r w:rsidR="005B4532" w:rsidRPr="00F01425">
        <w:rPr>
          <w:rFonts w:ascii="Arial" w:hAnsi="Arial" w:cs="Arial"/>
          <w:sz w:val="20"/>
          <w:szCs w:val="20"/>
        </w:rPr>
        <w:t xml:space="preserve"> the Company’s core product lines with more automated manufacturing equipment purchased at the end of January 2021.</w:t>
      </w:r>
    </w:p>
    <w:p w14:paraId="4C0AC30C" w14:textId="77777777" w:rsidR="005B4532" w:rsidRPr="0077285B" w:rsidRDefault="005B4532" w:rsidP="005B4532">
      <w:pPr>
        <w:keepNext/>
        <w:adjustRightInd w:val="0"/>
        <w:jc w:val="both"/>
        <w:rPr>
          <w:rFonts w:ascii="Arial" w:hAnsi="Arial" w:cs="Arial"/>
          <w:sz w:val="20"/>
          <w:szCs w:val="20"/>
        </w:rPr>
      </w:pPr>
    </w:p>
    <w:p w14:paraId="53E98FDB" w14:textId="4764F90B" w:rsidR="005B4532" w:rsidRPr="00036CC3" w:rsidRDefault="005B4532" w:rsidP="005B4532">
      <w:pPr>
        <w:keepNext/>
        <w:adjustRightInd w:val="0"/>
        <w:jc w:val="both"/>
        <w:rPr>
          <w:rFonts w:ascii="Arial" w:hAnsi="Arial" w:cs="Arial"/>
          <w:color w:val="000000" w:themeColor="text1"/>
          <w:sz w:val="20"/>
          <w:szCs w:val="20"/>
        </w:rPr>
      </w:pPr>
      <w:r w:rsidRPr="0077285B">
        <w:rPr>
          <w:rFonts w:ascii="Arial" w:hAnsi="Arial" w:cs="Arial"/>
          <w:color w:val="000000" w:themeColor="text1"/>
          <w:sz w:val="20"/>
          <w:szCs w:val="20"/>
        </w:rPr>
        <w:t>Operating expenses were $</w:t>
      </w:r>
      <w:r w:rsidR="0077285B" w:rsidRPr="0077285B">
        <w:rPr>
          <w:rFonts w:ascii="Arial" w:hAnsi="Arial" w:cs="Arial"/>
          <w:color w:val="000000" w:themeColor="text1"/>
          <w:sz w:val="20"/>
          <w:szCs w:val="20"/>
        </w:rPr>
        <w:t>6,271,904</w:t>
      </w:r>
      <w:r w:rsidRPr="0077285B">
        <w:rPr>
          <w:rFonts w:ascii="Arial" w:hAnsi="Arial" w:cs="Arial"/>
          <w:color w:val="000000" w:themeColor="text1"/>
          <w:sz w:val="20"/>
          <w:szCs w:val="20"/>
        </w:rPr>
        <w:t xml:space="preserve"> for the </w:t>
      </w:r>
      <w:r w:rsidR="0077285B" w:rsidRPr="0077285B">
        <w:rPr>
          <w:rFonts w:ascii="Arial" w:hAnsi="Arial" w:cs="Arial"/>
          <w:color w:val="000000" w:themeColor="text1"/>
          <w:sz w:val="20"/>
          <w:szCs w:val="20"/>
        </w:rPr>
        <w:t>year</w:t>
      </w:r>
      <w:r w:rsidRPr="0077285B">
        <w:rPr>
          <w:rFonts w:ascii="Arial" w:hAnsi="Arial" w:cs="Arial"/>
          <w:color w:val="000000" w:themeColor="text1"/>
          <w:sz w:val="20"/>
          <w:szCs w:val="20"/>
        </w:rPr>
        <w:t xml:space="preserve"> ended </w:t>
      </w:r>
      <w:r w:rsidR="0077285B" w:rsidRPr="0077285B">
        <w:rPr>
          <w:rFonts w:ascii="Arial" w:hAnsi="Arial" w:cs="Arial"/>
          <w:color w:val="000000" w:themeColor="text1"/>
          <w:sz w:val="20"/>
          <w:szCs w:val="20"/>
        </w:rPr>
        <w:t>December 31</w:t>
      </w:r>
      <w:r w:rsidRPr="0077285B">
        <w:rPr>
          <w:rFonts w:ascii="Arial" w:hAnsi="Arial" w:cs="Arial"/>
          <w:color w:val="000000" w:themeColor="text1"/>
          <w:sz w:val="20"/>
          <w:szCs w:val="20"/>
        </w:rPr>
        <w:t xml:space="preserve">, </w:t>
      </w:r>
      <w:proofErr w:type="gramStart"/>
      <w:r w:rsidRPr="0077285B">
        <w:rPr>
          <w:rFonts w:ascii="Arial" w:hAnsi="Arial" w:cs="Arial"/>
          <w:color w:val="000000" w:themeColor="text1"/>
          <w:sz w:val="20"/>
          <w:szCs w:val="20"/>
        </w:rPr>
        <w:t>2021</w:t>
      </w:r>
      <w:proofErr w:type="gramEnd"/>
      <w:r w:rsidRPr="0077285B">
        <w:rPr>
          <w:rFonts w:ascii="Arial" w:hAnsi="Arial" w:cs="Arial"/>
          <w:color w:val="000000" w:themeColor="text1"/>
          <w:sz w:val="20"/>
          <w:szCs w:val="20"/>
        </w:rPr>
        <w:t xml:space="preserve"> compared to $</w:t>
      </w:r>
      <w:r w:rsidR="0077285B" w:rsidRPr="0077285B">
        <w:rPr>
          <w:rFonts w:ascii="Arial" w:hAnsi="Arial" w:cs="Arial"/>
          <w:color w:val="000000" w:themeColor="text1"/>
          <w:sz w:val="20"/>
          <w:szCs w:val="20"/>
        </w:rPr>
        <w:t>6,815,802</w:t>
      </w:r>
      <w:r w:rsidRPr="0077285B">
        <w:rPr>
          <w:rFonts w:ascii="Arial" w:hAnsi="Arial" w:cs="Arial"/>
          <w:color w:val="000000" w:themeColor="text1"/>
          <w:sz w:val="20"/>
          <w:szCs w:val="20"/>
        </w:rPr>
        <w:t xml:space="preserve"> for the </w:t>
      </w:r>
      <w:r w:rsidR="0077285B" w:rsidRPr="0077285B">
        <w:rPr>
          <w:rFonts w:ascii="Arial" w:hAnsi="Arial" w:cs="Arial"/>
          <w:color w:val="000000" w:themeColor="text1"/>
          <w:sz w:val="20"/>
          <w:szCs w:val="20"/>
        </w:rPr>
        <w:t>year</w:t>
      </w:r>
      <w:r w:rsidRPr="0077285B">
        <w:rPr>
          <w:rFonts w:ascii="Arial" w:hAnsi="Arial" w:cs="Arial"/>
          <w:color w:val="000000" w:themeColor="text1"/>
          <w:sz w:val="20"/>
          <w:szCs w:val="20"/>
        </w:rPr>
        <w:t xml:space="preserve"> ended </w:t>
      </w:r>
      <w:r w:rsidR="0077285B" w:rsidRPr="0077285B">
        <w:rPr>
          <w:rFonts w:ascii="Arial" w:hAnsi="Arial" w:cs="Arial"/>
          <w:color w:val="000000" w:themeColor="text1"/>
          <w:sz w:val="20"/>
          <w:szCs w:val="20"/>
        </w:rPr>
        <w:t>December 31</w:t>
      </w:r>
      <w:r w:rsidRPr="0077285B">
        <w:rPr>
          <w:rFonts w:ascii="Arial" w:hAnsi="Arial" w:cs="Arial"/>
          <w:color w:val="000000" w:themeColor="text1"/>
          <w:sz w:val="20"/>
          <w:szCs w:val="20"/>
        </w:rPr>
        <w:t xml:space="preserve">, 2020, representing an improvement of </w:t>
      </w:r>
      <w:r w:rsidR="009525F5">
        <w:rPr>
          <w:rFonts w:ascii="Arial" w:hAnsi="Arial" w:cs="Arial"/>
          <w:color w:val="000000" w:themeColor="text1"/>
          <w:sz w:val="20"/>
          <w:szCs w:val="20"/>
        </w:rPr>
        <w:t>8</w:t>
      </w:r>
      <w:r w:rsidRPr="0077285B">
        <w:rPr>
          <w:rFonts w:ascii="Arial" w:hAnsi="Arial" w:cs="Arial"/>
          <w:color w:val="000000" w:themeColor="text1"/>
          <w:sz w:val="20"/>
          <w:szCs w:val="20"/>
        </w:rPr>
        <w:t xml:space="preserve">%. Operating expenses have decreased due to the Company’s cost </w:t>
      </w:r>
      <w:r w:rsidR="004776C8" w:rsidRPr="0077285B">
        <w:rPr>
          <w:rFonts w:ascii="Arial" w:hAnsi="Arial" w:cs="Arial"/>
          <w:color w:val="000000" w:themeColor="text1"/>
          <w:sz w:val="20"/>
          <w:szCs w:val="20"/>
        </w:rPr>
        <w:t>saving</w:t>
      </w:r>
      <w:r w:rsidRPr="0077285B">
        <w:rPr>
          <w:rFonts w:ascii="Arial" w:hAnsi="Arial" w:cs="Arial"/>
          <w:color w:val="000000" w:themeColor="text1"/>
          <w:sz w:val="20"/>
          <w:szCs w:val="20"/>
        </w:rPr>
        <w:t xml:space="preserve"> </w:t>
      </w:r>
      <w:r w:rsidRPr="00036CC3">
        <w:rPr>
          <w:rFonts w:ascii="Arial" w:hAnsi="Arial" w:cs="Arial"/>
          <w:color w:val="000000" w:themeColor="text1"/>
          <w:sz w:val="20"/>
          <w:szCs w:val="20"/>
        </w:rPr>
        <w:t xml:space="preserve">measures and focus on profitability. </w:t>
      </w:r>
    </w:p>
    <w:p w14:paraId="42409EFF" w14:textId="77777777" w:rsidR="005B4532" w:rsidRPr="00036CC3" w:rsidRDefault="005B4532" w:rsidP="005B4532">
      <w:pPr>
        <w:keepNext/>
        <w:adjustRightInd w:val="0"/>
        <w:jc w:val="both"/>
        <w:rPr>
          <w:rFonts w:ascii="Arial" w:hAnsi="Arial" w:cs="Arial"/>
          <w:bCs/>
          <w:sz w:val="20"/>
          <w:szCs w:val="20"/>
          <w:lang w:eastAsia="zh-TW"/>
        </w:rPr>
      </w:pPr>
    </w:p>
    <w:p w14:paraId="44207FB1" w14:textId="15522395" w:rsidR="005B4532" w:rsidRPr="00036CC3" w:rsidRDefault="005B4532" w:rsidP="005B4532">
      <w:pPr>
        <w:keepNext/>
        <w:adjustRightInd w:val="0"/>
        <w:jc w:val="both"/>
        <w:rPr>
          <w:rFonts w:ascii="Arial" w:hAnsi="Arial" w:cs="Arial"/>
          <w:sz w:val="20"/>
          <w:szCs w:val="20"/>
        </w:rPr>
      </w:pPr>
      <w:r w:rsidRPr="00036CC3">
        <w:rPr>
          <w:rFonts w:ascii="Arial" w:hAnsi="Arial" w:cs="Arial"/>
          <w:bCs/>
          <w:sz w:val="20"/>
          <w:szCs w:val="20"/>
          <w:lang w:eastAsia="zh-TW"/>
        </w:rPr>
        <w:t>The Company recorded a net income of $</w:t>
      </w:r>
      <w:r w:rsidR="0077285B" w:rsidRPr="00036CC3">
        <w:rPr>
          <w:rFonts w:ascii="Arial" w:hAnsi="Arial" w:cs="Arial"/>
          <w:bCs/>
          <w:sz w:val="20"/>
          <w:szCs w:val="20"/>
          <w:lang w:eastAsia="zh-TW"/>
        </w:rPr>
        <w:t>6,</w:t>
      </w:r>
      <w:r w:rsidR="009761C1">
        <w:rPr>
          <w:rFonts w:ascii="Arial" w:hAnsi="Arial" w:cs="Arial"/>
          <w:bCs/>
          <w:sz w:val="20"/>
          <w:szCs w:val="20"/>
          <w:lang w:eastAsia="zh-TW"/>
        </w:rPr>
        <w:t xml:space="preserve">954,348 </w:t>
      </w:r>
      <w:r w:rsidRPr="00036CC3">
        <w:rPr>
          <w:rFonts w:ascii="Arial" w:hAnsi="Arial" w:cs="Arial"/>
          <w:bCs/>
          <w:sz w:val="20"/>
          <w:szCs w:val="20"/>
          <w:lang w:eastAsia="zh-TW"/>
        </w:rPr>
        <w:t>($0.</w:t>
      </w:r>
      <w:r w:rsidR="0077285B" w:rsidRPr="00036CC3">
        <w:rPr>
          <w:rFonts w:ascii="Arial" w:hAnsi="Arial" w:cs="Arial"/>
          <w:bCs/>
          <w:sz w:val="20"/>
          <w:szCs w:val="20"/>
          <w:lang w:eastAsia="zh-TW"/>
        </w:rPr>
        <w:t>12</w:t>
      </w:r>
      <w:r w:rsidRPr="00036CC3">
        <w:rPr>
          <w:rFonts w:ascii="Arial" w:hAnsi="Arial" w:cs="Arial"/>
          <w:bCs/>
          <w:sz w:val="20"/>
          <w:szCs w:val="20"/>
          <w:lang w:eastAsia="zh-TW"/>
        </w:rPr>
        <w:t xml:space="preserve"> per share</w:t>
      </w:r>
      <w:r w:rsidR="009761C1">
        <w:rPr>
          <w:rFonts w:ascii="Arial" w:hAnsi="Arial" w:cs="Arial"/>
          <w:bCs/>
          <w:sz w:val="20"/>
          <w:szCs w:val="20"/>
          <w:lang w:eastAsia="zh-TW"/>
        </w:rPr>
        <w:t xml:space="preserve"> basic, $0.09 per share diluted</w:t>
      </w:r>
      <w:r w:rsidRPr="00036CC3">
        <w:rPr>
          <w:rFonts w:ascii="Arial" w:hAnsi="Arial" w:cs="Arial"/>
          <w:bCs/>
          <w:sz w:val="20"/>
          <w:szCs w:val="20"/>
          <w:lang w:eastAsia="zh-TW"/>
        </w:rPr>
        <w:t xml:space="preserve">) for the </w:t>
      </w:r>
      <w:r w:rsidR="0077285B" w:rsidRPr="00036CC3">
        <w:rPr>
          <w:rFonts w:ascii="Arial" w:hAnsi="Arial" w:cs="Arial"/>
          <w:bCs/>
          <w:sz w:val="20"/>
          <w:szCs w:val="20"/>
          <w:lang w:eastAsia="zh-TW"/>
        </w:rPr>
        <w:t xml:space="preserve">year </w:t>
      </w:r>
      <w:r w:rsidRPr="00036CC3">
        <w:rPr>
          <w:rFonts w:ascii="Arial" w:hAnsi="Arial" w:cs="Arial"/>
          <w:bCs/>
          <w:sz w:val="20"/>
          <w:szCs w:val="20"/>
          <w:lang w:eastAsia="zh-TW"/>
        </w:rPr>
        <w:t xml:space="preserve">ended </w:t>
      </w:r>
      <w:r w:rsidR="0077285B" w:rsidRPr="00036CC3">
        <w:rPr>
          <w:rFonts w:ascii="Arial" w:hAnsi="Arial" w:cs="Arial"/>
          <w:bCs/>
          <w:sz w:val="20"/>
          <w:szCs w:val="20"/>
          <w:lang w:eastAsia="zh-TW"/>
        </w:rPr>
        <w:t>December 31</w:t>
      </w:r>
      <w:r w:rsidRPr="00036CC3">
        <w:rPr>
          <w:rFonts w:ascii="Arial" w:hAnsi="Arial" w:cs="Arial"/>
          <w:bCs/>
          <w:sz w:val="20"/>
          <w:szCs w:val="20"/>
          <w:lang w:eastAsia="zh-TW"/>
        </w:rPr>
        <w:t xml:space="preserve">, </w:t>
      </w:r>
      <w:proofErr w:type="gramStart"/>
      <w:r w:rsidRPr="00036CC3">
        <w:rPr>
          <w:rFonts w:ascii="Arial" w:hAnsi="Arial" w:cs="Arial"/>
          <w:bCs/>
          <w:sz w:val="20"/>
          <w:szCs w:val="20"/>
          <w:lang w:eastAsia="zh-TW"/>
        </w:rPr>
        <w:t>2021</w:t>
      </w:r>
      <w:proofErr w:type="gramEnd"/>
      <w:r w:rsidRPr="00036CC3">
        <w:rPr>
          <w:rFonts w:ascii="Arial" w:hAnsi="Arial" w:cs="Arial"/>
          <w:bCs/>
          <w:sz w:val="20"/>
          <w:szCs w:val="20"/>
          <w:lang w:eastAsia="zh-TW"/>
        </w:rPr>
        <w:t xml:space="preserve"> compared to a net </w:t>
      </w:r>
      <w:r w:rsidR="0077285B" w:rsidRPr="00036CC3">
        <w:rPr>
          <w:rFonts w:ascii="Arial" w:hAnsi="Arial" w:cs="Arial"/>
          <w:bCs/>
          <w:sz w:val="20"/>
          <w:szCs w:val="20"/>
          <w:lang w:eastAsia="zh-TW"/>
        </w:rPr>
        <w:t>income</w:t>
      </w:r>
      <w:r w:rsidRPr="00036CC3">
        <w:rPr>
          <w:rFonts w:ascii="Arial" w:hAnsi="Arial" w:cs="Arial"/>
          <w:bCs/>
          <w:sz w:val="20"/>
          <w:szCs w:val="20"/>
          <w:lang w:eastAsia="zh-TW"/>
        </w:rPr>
        <w:t xml:space="preserve"> of </w:t>
      </w:r>
      <w:r w:rsidR="0077285B" w:rsidRPr="00036CC3">
        <w:rPr>
          <w:rFonts w:ascii="Arial" w:hAnsi="Arial" w:cs="Arial"/>
          <w:bCs/>
          <w:sz w:val="20"/>
          <w:szCs w:val="20"/>
          <w:lang w:eastAsia="zh-TW"/>
        </w:rPr>
        <w:t>$</w:t>
      </w:r>
      <w:r w:rsidR="00036CC3" w:rsidRPr="00036CC3">
        <w:rPr>
          <w:rFonts w:ascii="Arial" w:hAnsi="Arial" w:cs="Arial"/>
          <w:bCs/>
          <w:sz w:val="20"/>
          <w:szCs w:val="20"/>
          <w:lang w:eastAsia="zh-TW"/>
        </w:rPr>
        <w:t>228,986</w:t>
      </w:r>
      <w:r w:rsidRPr="00036CC3">
        <w:rPr>
          <w:rFonts w:ascii="Arial" w:hAnsi="Arial" w:cs="Arial"/>
          <w:bCs/>
          <w:sz w:val="20"/>
          <w:szCs w:val="20"/>
          <w:lang w:eastAsia="zh-TW"/>
        </w:rPr>
        <w:t xml:space="preserve"> ($0.00 per share</w:t>
      </w:r>
      <w:r w:rsidR="009761C1">
        <w:rPr>
          <w:rFonts w:ascii="Arial" w:hAnsi="Arial" w:cs="Arial"/>
          <w:bCs/>
          <w:sz w:val="20"/>
          <w:szCs w:val="20"/>
          <w:lang w:eastAsia="zh-TW"/>
        </w:rPr>
        <w:t xml:space="preserve"> basic and diluted</w:t>
      </w:r>
      <w:r w:rsidRPr="00036CC3">
        <w:rPr>
          <w:rFonts w:ascii="Arial" w:hAnsi="Arial" w:cs="Arial"/>
          <w:bCs/>
          <w:sz w:val="20"/>
          <w:szCs w:val="20"/>
          <w:lang w:eastAsia="zh-TW"/>
        </w:rPr>
        <w:t xml:space="preserve">) for the </w:t>
      </w:r>
      <w:r w:rsidR="00036CC3" w:rsidRPr="00036CC3">
        <w:rPr>
          <w:rFonts w:ascii="Arial" w:hAnsi="Arial" w:cs="Arial"/>
          <w:bCs/>
          <w:sz w:val="20"/>
          <w:szCs w:val="20"/>
          <w:lang w:eastAsia="zh-TW"/>
        </w:rPr>
        <w:t xml:space="preserve">year </w:t>
      </w:r>
      <w:r w:rsidRPr="00036CC3">
        <w:rPr>
          <w:rFonts w:ascii="Arial" w:hAnsi="Arial" w:cs="Arial"/>
          <w:bCs/>
          <w:sz w:val="20"/>
          <w:szCs w:val="20"/>
          <w:lang w:eastAsia="zh-TW"/>
        </w:rPr>
        <w:t xml:space="preserve">ended </w:t>
      </w:r>
      <w:r w:rsidR="00036CC3" w:rsidRPr="00036CC3">
        <w:rPr>
          <w:rFonts w:ascii="Arial" w:hAnsi="Arial" w:cs="Arial"/>
          <w:bCs/>
          <w:sz w:val="20"/>
          <w:szCs w:val="20"/>
          <w:lang w:eastAsia="zh-TW"/>
        </w:rPr>
        <w:t>December 31</w:t>
      </w:r>
      <w:r w:rsidRPr="00036CC3">
        <w:rPr>
          <w:rFonts w:ascii="Arial" w:hAnsi="Arial" w:cs="Arial"/>
          <w:bCs/>
          <w:sz w:val="20"/>
          <w:szCs w:val="20"/>
          <w:lang w:eastAsia="zh-TW"/>
        </w:rPr>
        <w:t xml:space="preserve">, 2020. </w:t>
      </w:r>
      <w:r w:rsidRPr="00036CC3">
        <w:rPr>
          <w:rFonts w:ascii="Arial" w:hAnsi="Arial" w:cs="Arial"/>
          <w:sz w:val="20"/>
          <w:szCs w:val="20"/>
        </w:rPr>
        <w:t>The Company recorded a higher net income after taxes in the current period due to increased revenues, increased margins, and reduced operating expenses</w:t>
      </w:r>
      <w:r w:rsidR="00C31200" w:rsidRPr="00036CC3">
        <w:rPr>
          <w:rFonts w:ascii="Arial" w:hAnsi="Arial" w:cs="Arial"/>
          <w:sz w:val="20"/>
          <w:szCs w:val="20"/>
        </w:rPr>
        <w:t>.</w:t>
      </w:r>
    </w:p>
    <w:p w14:paraId="2DCF8816" w14:textId="77777777" w:rsidR="005B4532" w:rsidRPr="00036CC3" w:rsidRDefault="005B4532" w:rsidP="005B4532">
      <w:pPr>
        <w:keepNext/>
        <w:adjustRightInd w:val="0"/>
        <w:jc w:val="both"/>
        <w:rPr>
          <w:rFonts w:ascii="Arial" w:hAnsi="Arial" w:cs="Arial"/>
          <w:bCs/>
          <w:sz w:val="20"/>
          <w:szCs w:val="20"/>
          <w:lang w:eastAsia="zh-TW"/>
        </w:rPr>
      </w:pPr>
    </w:p>
    <w:p w14:paraId="0DA48538" w14:textId="042A7AFA" w:rsidR="005B4532" w:rsidRPr="00713961" w:rsidRDefault="005B4532" w:rsidP="005B4532">
      <w:pPr>
        <w:keepNext/>
        <w:adjustRightInd w:val="0"/>
        <w:jc w:val="both"/>
        <w:rPr>
          <w:rFonts w:ascii="Arial" w:hAnsi="Arial" w:cs="Arial"/>
          <w:bCs/>
          <w:sz w:val="20"/>
          <w:szCs w:val="20"/>
          <w:lang w:eastAsia="zh-TW"/>
        </w:rPr>
      </w:pPr>
      <w:r w:rsidRPr="00036CC3">
        <w:rPr>
          <w:rFonts w:ascii="Arial" w:hAnsi="Arial" w:cs="Arial"/>
          <w:bCs/>
          <w:sz w:val="20"/>
          <w:szCs w:val="20"/>
          <w:u w:val="single"/>
          <w:lang w:eastAsia="zh-TW"/>
        </w:rPr>
        <w:t xml:space="preserve">Administrative and office for the </w:t>
      </w:r>
      <w:r w:rsidR="00036CC3" w:rsidRPr="00036CC3">
        <w:rPr>
          <w:rFonts w:ascii="Arial" w:hAnsi="Arial" w:cs="Arial"/>
          <w:bCs/>
          <w:sz w:val="20"/>
          <w:szCs w:val="20"/>
          <w:u w:val="single"/>
          <w:lang w:eastAsia="zh-TW"/>
        </w:rPr>
        <w:t>year</w:t>
      </w:r>
      <w:r w:rsidRPr="00036CC3">
        <w:rPr>
          <w:rFonts w:ascii="Arial" w:hAnsi="Arial" w:cs="Arial"/>
          <w:bCs/>
          <w:sz w:val="20"/>
          <w:szCs w:val="20"/>
          <w:u w:val="single"/>
          <w:lang w:eastAsia="zh-TW"/>
        </w:rPr>
        <w:t xml:space="preserve"> ended </w:t>
      </w:r>
      <w:r w:rsidR="00036CC3" w:rsidRPr="00036CC3">
        <w:rPr>
          <w:rFonts w:ascii="Arial" w:hAnsi="Arial" w:cs="Arial"/>
          <w:bCs/>
          <w:sz w:val="20"/>
          <w:szCs w:val="20"/>
          <w:u w:val="single"/>
          <w:lang w:eastAsia="zh-TW"/>
        </w:rPr>
        <w:t>December 31</w:t>
      </w:r>
      <w:r w:rsidRPr="00036CC3">
        <w:rPr>
          <w:rFonts w:ascii="Arial" w:hAnsi="Arial" w:cs="Arial"/>
          <w:bCs/>
          <w:sz w:val="20"/>
          <w:szCs w:val="20"/>
          <w:u w:val="single"/>
          <w:lang w:eastAsia="zh-TW"/>
        </w:rPr>
        <w:t xml:space="preserve">, </w:t>
      </w:r>
      <w:proofErr w:type="gramStart"/>
      <w:r w:rsidRPr="00036CC3">
        <w:rPr>
          <w:rFonts w:ascii="Arial" w:hAnsi="Arial" w:cs="Arial"/>
          <w:bCs/>
          <w:sz w:val="20"/>
          <w:szCs w:val="20"/>
          <w:u w:val="single"/>
          <w:lang w:eastAsia="zh-TW"/>
        </w:rPr>
        <w:t>2021</w:t>
      </w:r>
      <w:proofErr w:type="gramEnd"/>
      <w:r w:rsidRPr="00036CC3">
        <w:rPr>
          <w:rFonts w:ascii="Arial" w:hAnsi="Arial" w:cs="Arial"/>
          <w:bCs/>
          <w:sz w:val="20"/>
          <w:szCs w:val="20"/>
          <w:u w:val="single"/>
          <w:lang w:eastAsia="zh-TW"/>
        </w:rPr>
        <w:t xml:space="preserve"> $</w:t>
      </w:r>
      <w:r w:rsidR="00036CC3" w:rsidRPr="00036CC3">
        <w:rPr>
          <w:rFonts w:ascii="Arial" w:hAnsi="Arial" w:cs="Arial"/>
          <w:bCs/>
          <w:sz w:val="20"/>
          <w:szCs w:val="20"/>
          <w:u w:val="single"/>
          <w:lang w:eastAsia="zh-TW"/>
        </w:rPr>
        <w:t>1,364,982</w:t>
      </w:r>
      <w:r w:rsidRPr="00036CC3">
        <w:rPr>
          <w:rFonts w:ascii="Arial" w:hAnsi="Arial" w:cs="Arial"/>
          <w:bCs/>
          <w:sz w:val="20"/>
          <w:szCs w:val="20"/>
          <w:u w:val="single"/>
          <w:lang w:eastAsia="zh-TW"/>
        </w:rPr>
        <w:t xml:space="preserve"> (</w:t>
      </w:r>
      <w:r w:rsidR="00036CC3" w:rsidRPr="00036CC3">
        <w:rPr>
          <w:rFonts w:ascii="Arial" w:hAnsi="Arial" w:cs="Arial"/>
          <w:bCs/>
          <w:sz w:val="20"/>
          <w:szCs w:val="20"/>
          <w:u w:val="single"/>
          <w:lang w:eastAsia="zh-TW"/>
        </w:rPr>
        <w:t>year</w:t>
      </w:r>
      <w:r w:rsidRPr="00036CC3">
        <w:rPr>
          <w:rFonts w:ascii="Arial" w:hAnsi="Arial" w:cs="Arial"/>
          <w:bCs/>
          <w:sz w:val="20"/>
          <w:szCs w:val="20"/>
          <w:u w:val="single"/>
          <w:lang w:eastAsia="zh-TW"/>
        </w:rPr>
        <w:t xml:space="preserve"> ended </w:t>
      </w:r>
      <w:r w:rsidR="00036CC3" w:rsidRPr="00036CC3">
        <w:rPr>
          <w:rFonts w:ascii="Arial" w:hAnsi="Arial" w:cs="Arial"/>
          <w:bCs/>
          <w:sz w:val="20"/>
          <w:szCs w:val="20"/>
          <w:u w:val="single"/>
          <w:lang w:eastAsia="zh-TW"/>
        </w:rPr>
        <w:t>December 31</w:t>
      </w:r>
      <w:r w:rsidRPr="00036CC3">
        <w:rPr>
          <w:rFonts w:ascii="Arial" w:hAnsi="Arial" w:cs="Arial"/>
          <w:bCs/>
          <w:sz w:val="20"/>
          <w:szCs w:val="20"/>
          <w:u w:val="single"/>
          <w:lang w:eastAsia="zh-TW"/>
        </w:rPr>
        <w:t>, 2020 – $</w:t>
      </w:r>
      <w:r w:rsidR="00036CC3" w:rsidRPr="00036CC3">
        <w:rPr>
          <w:rFonts w:ascii="Arial" w:hAnsi="Arial" w:cs="Arial"/>
          <w:bCs/>
          <w:sz w:val="20"/>
          <w:szCs w:val="20"/>
          <w:u w:val="single"/>
          <w:lang w:eastAsia="zh-TW"/>
        </w:rPr>
        <w:t>1,938,936</w:t>
      </w:r>
      <w:r w:rsidRPr="00036CC3">
        <w:rPr>
          <w:rFonts w:ascii="Arial" w:hAnsi="Arial" w:cs="Arial"/>
          <w:bCs/>
          <w:sz w:val="20"/>
          <w:szCs w:val="20"/>
          <w:u w:val="single"/>
          <w:lang w:eastAsia="zh-TW"/>
        </w:rPr>
        <w:t>).</w:t>
      </w:r>
      <w:r w:rsidRPr="00036CC3">
        <w:rPr>
          <w:rFonts w:ascii="Arial" w:hAnsi="Arial" w:cs="Arial"/>
          <w:bCs/>
          <w:sz w:val="20"/>
          <w:szCs w:val="20"/>
          <w:lang w:eastAsia="zh-TW"/>
        </w:rPr>
        <w:t xml:space="preserve"> </w:t>
      </w:r>
      <w:r w:rsidRPr="00036CC3">
        <w:rPr>
          <w:rFonts w:ascii="Arial" w:hAnsi="Arial" w:cs="Arial"/>
          <w:sz w:val="20"/>
          <w:szCs w:val="20"/>
        </w:rPr>
        <w:t xml:space="preserve">Administrative and office expenses </w:t>
      </w:r>
      <w:proofErr w:type="gramStart"/>
      <w:r w:rsidRPr="00036CC3">
        <w:rPr>
          <w:rFonts w:ascii="Arial" w:hAnsi="Arial" w:cs="Arial"/>
          <w:sz w:val="20"/>
          <w:szCs w:val="20"/>
        </w:rPr>
        <w:t>has</w:t>
      </w:r>
      <w:proofErr w:type="gramEnd"/>
      <w:r w:rsidRPr="00036CC3">
        <w:rPr>
          <w:rFonts w:ascii="Arial" w:hAnsi="Arial" w:cs="Arial"/>
          <w:sz w:val="20"/>
          <w:szCs w:val="20"/>
        </w:rPr>
        <w:t xml:space="preserve"> significantly decreased due to the Company’s efforts and focus on reducing overhead costs </w:t>
      </w:r>
      <w:r w:rsidR="004776C8" w:rsidRPr="00036CC3">
        <w:rPr>
          <w:rFonts w:ascii="Arial" w:hAnsi="Arial" w:cs="Arial"/>
          <w:sz w:val="20"/>
          <w:szCs w:val="20"/>
        </w:rPr>
        <w:t xml:space="preserve">and improving </w:t>
      </w:r>
      <w:r w:rsidR="004776C8" w:rsidRPr="00713961">
        <w:rPr>
          <w:rFonts w:ascii="Arial" w:hAnsi="Arial" w:cs="Arial"/>
          <w:sz w:val="20"/>
          <w:szCs w:val="20"/>
        </w:rPr>
        <w:t xml:space="preserve">profitability </w:t>
      </w:r>
      <w:r w:rsidRPr="00713961">
        <w:rPr>
          <w:rFonts w:ascii="Arial" w:hAnsi="Arial" w:cs="Arial"/>
          <w:sz w:val="20"/>
          <w:szCs w:val="20"/>
        </w:rPr>
        <w:t xml:space="preserve">during the COVID-19 pandemic. </w:t>
      </w:r>
    </w:p>
    <w:p w14:paraId="7B9764EB" w14:textId="77777777" w:rsidR="005B4532" w:rsidRPr="00713961" w:rsidRDefault="005B4532" w:rsidP="005B4532">
      <w:pPr>
        <w:keepNext/>
        <w:adjustRightInd w:val="0"/>
        <w:jc w:val="both"/>
        <w:rPr>
          <w:rFonts w:ascii="Arial" w:hAnsi="Arial" w:cs="Arial"/>
          <w:bCs/>
          <w:sz w:val="20"/>
          <w:szCs w:val="20"/>
          <w:lang w:eastAsia="zh-TW"/>
        </w:rPr>
      </w:pPr>
    </w:p>
    <w:p w14:paraId="7A0798AF" w14:textId="2CCD6D97" w:rsidR="005B4532" w:rsidRPr="00713961" w:rsidRDefault="005B4532" w:rsidP="005B4532">
      <w:pPr>
        <w:keepNext/>
        <w:adjustRightInd w:val="0"/>
        <w:jc w:val="both"/>
        <w:rPr>
          <w:rFonts w:ascii="Arial" w:eastAsia="Times New Roman" w:hAnsi="Arial" w:cs="Arial"/>
          <w:bCs/>
          <w:sz w:val="20"/>
          <w:szCs w:val="20"/>
          <w:lang w:val="en-CA" w:eastAsia="zh-TW"/>
        </w:rPr>
      </w:pPr>
      <w:r w:rsidRPr="00713961">
        <w:rPr>
          <w:rFonts w:ascii="Arial" w:hAnsi="Arial" w:cs="Arial"/>
          <w:bCs/>
          <w:sz w:val="20"/>
          <w:szCs w:val="20"/>
          <w:u w:val="single"/>
          <w:lang w:eastAsia="zh-TW"/>
        </w:rPr>
        <w:t>Depreciation</w:t>
      </w:r>
      <w:r w:rsidR="00036CC3" w:rsidRPr="00713961">
        <w:rPr>
          <w:rFonts w:ascii="Arial" w:hAnsi="Arial" w:cs="Arial"/>
          <w:bCs/>
          <w:sz w:val="20"/>
          <w:szCs w:val="20"/>
          <w:u w:val="single"/>
          <w:lang w:eastAsia="zh-TW"/>
        </w:rPr>
        <w:t xml:space="preserve"> and amortization</w:t>
      </w:r>
      <w:r w:rsidRPr="00713961">
        <w:rPr>
          <w:rFonts w:ascii="Arial" w:hAnsi="Arial" w:cs="Arial"/>
          <w:bCs/>
          <w:sz w:val="20"/>
          <w:szCs w:val="20"/>
          <w:u w:val="single"/>
          <w:lang w:eastAsia="zh-TW"/>
        </w:rPr>
        <w:t xml:space="preserve"> for the </w:t>
      </w:r>
      <w:r w:rsidR="00036CC3" w:rsidRPr="00713961">
        <w:rPr>
          <w:rFonts w:ascii="Arial" w:hAnsi="Arial" w:cs="Arial"/>
          <w:bCs/>
          <w:sz w:val="20"/>
          <w:szCs w:val="20"/>
          <w:u w:val="single"/>
          <w:lang w:eastAsia="zh-TW"/>
        </w:rPr>
        <w:t>year</w:t>
      </w:r>
      <w:r w:rsidRPr="00713961">
        <w:rPr>
          <w:rFonts w:ascii="Arial" w:hAnsi="Arial" w:cs="Arial"/>
          <w:bCs/>
          <w:sz w:val="20"/>
          <w:szCs w:val="20"/>
          <w:u w:val="single"/>
          <w:lang w:eastAsia="zh-TW"/>
        </w:rPr>
        <w:t xml:space="preserve"> ended </w:t>
      </w:r>
      <w:r w:rsidR="00036CC3" w:rsidRPr="00713961">
        <w:rPr>
          <w:rFonts w:ascii="Arial" w:hAnsi="Arial" w:cs="Arial"/>
          <w:bCs/>
          <w:sz w:val="20"/>
          <w:szCs w:val="20"/>
          <w:u w:val="single"/>
          <w:lang w:eastAsia="zh-TW"/>
        </w:rPr>
        <w:t>December 31</w:t>
      </w:r>
      <w:r w:rsidRPr="00713961">
        <w:rPr>
          <w:rFonts w:ascii="Arial" w:hAnsi="Arial" w:cs="Arial"/>
          <w:bCs/>
          <w:sz w:val="20"/>
          <w:szCs w:val="20"/>
          <w:u w:val="single"/>
          <w:lang w:eastAsia="zh-TW"/>
        </w:rPr>
        <w:t xml:space="preserve">, </w:t>
      </w:r>
      <w:proofErr w:type="gramStart"/>
      <w:r w:rsidRPr="00713961">
        <w:rPr>
          <w:rFonts w:ascii="Arial" w:hAnsi="Arial" w:cs="Arial"/>
          <w:bCs/>
          <w:sz w:val="20"/>
          <w:szCs w:val="20"/>
          <w:u w:val="single"/>
          <w:lang w:eastAsia="zh-TW"/>
        </w:rPr>
        <w:t>2021</w:t>
      </w:r>
      <w:proofErr w:type="gramEnd"/>
      <w:r w:rsidRPr="00713961">
        <w:rPr>
          <w:rFonts w:ascii="Arial" w:hAnsi="Arial" w:cs="Arial"/>
          <w:bCs/>
          <w:sz w:val="20"/>
          <w:szCs w:val="20"/>
          <w:u w:val="single"/>
          <w:lang w:eastAsia="zh-TW"/>
        </w:rPr>
        <w:t xml:space="preserve"> $</w:t>
      </w:r>
      <w:r w:rsidR="00036CC3" w:rsidRPr="00713961">
        <w:rPr>
          <w:rFonts w:ascii="Arial" w:hAnsi="Arial" w:cs="Arial"/>
          <w:bCs/>
          <w:sz w:val="20"/>
          <w:szCs w:val="20"/>
          <w:u w:val="single"/>
          <w:lang w:eastAsia="zh-TW"/>
        </w:rPr>
        <w:t>1,253,734</w:t>
      </w:r>
      <w:r w:rsidRPr="00713961">
        <w:rPr>
          <w:rFonts w:ascii="Arial" w:hAnsi="Arial" w:cs="Arial"/>
          <w:bCs/>
          <w:sz w:val="20"/>
          <w:szCs w:val="20"/>
          <w:u w:val="single"/>
          <w:lang w:eastAsia="zh-TW"/>
        </w:rPr>
        <w:t xml:space="preserve"> (</w:t>
      </w:r>
      <w:r w:rsidR="00036CC3" w:rsidRPr="00713961">
        <w:rPr>
          <w:rFonts w:ascii="Arial" w:hAnsi="Arial" w:cs="Arial"/>
          <w:bCs/>
          <w:sz w:val="20"/>
          <w:szCs w:val="20"/>
          <w:u w:val="single"/>
          <w:lang w:eastAsia="zh-TW"/>
        </w:rPr>
        <w:t>year</w:t>
      </w:r>
      <w:r w:rsidRPr="00713961">
        <w:rPr>
          <w:rFonts w:ascii="Arial" w:hAnsi="Arial" w:cs="Arial"/>
          <w:bCs/>
          <w:sz w:val="20"/>
          <w:szCs w:val="20"/>
          <w:u w:val="single"/>
          <w:lang w:eastAsia="zh-TW"/>
        </w:rPr>
        <w:t xml:space="preserve"> ended </w:t>
      </w:r>
      <w:r w:rsidR="00036CC3" w:rsidRPr="00713961">
        <w:rPr>
          <w:rFonts w:ascii="Arial" w:hAnsi="Arial" w:cs="Arial"/>
          <w:bCs/>
          <w:sz w:val="20"/>
          <w:szCs w:val="20"/>
          <w:u w:val="single"/>
          <w:lang w:eastAsia="zh-TW"/>
        </w:rPr>
        <w:t xml:space="preserve">December </w:t>
      </w:r>
      <w:r w:rsidR="00036CC3" w:rsidRPr="00713961">
        <w:rPr>
          <w:rFonts w:ascii="Arial" w:hAnsi="Arial" w:cs="Arial"/>
          <w:bCs/>
          <w:sz w:val="20"/>
          <w:szCs w:val="20"/>
          <w:u w:val="single"/>
          <w:lang w:eastAsia="zh-TW"/>
        </w:rPr>
        <w:lastRenderedPageBreak/>
        <w:t>31</w:t>
      </w:r>
      <w:r w:rsidRPr="00713961">
        <w:rPr>
          <w:rFonts w:ascii="Arial" w:hAnsi="Arial" w:cs="Arial"/>
          <w:bCs/>
          <w:sz w:val="20"/>
          <w:szCs w:val="20"/>
          <w:u w:val="single"/>
          <w:lang w:eastAsia="zh-TW"/>
        </w:rPr>
        <w:t>, 2020 – $</w:t>
      </w:r>
      <w:r w:rsidR="00036CC3" w:rsidRPr="00713961">
        <w:rPr>
          <w:rFonts w:ascii="Arial" w:hAnsi="Arial" w:cs="Arial"/>
          <w:bCs/>
          <w:sz w:val="20"/>
          <w:szCs w:val="20"/>
          <w:u w:val="single"/>
          <w:lang w:eastAsia="zh-TW"/>
        </w:rPr>
        <w:t>1,431,297</w:t>
      </w:r>
      <w:r w:rsidRPr="00713961">
        <w:rPr>
          <w:rFonts w:ascii="Arial" w:hAnsi="Arial" w:cs="Arial"/>
          <w:bCs/>
          <w:sz w:val="20"/>
          <w:szCs w:val="20"/>
          <w:u w:val="single"/>
          <w:lang w:eastAsia="zh-TW"/>
        </w:rPr>
        <w:t>).</w:t>
      </w:r>
      <w:r w:rsidRPr="00713961">
        <w:rPr>
          <w:rFonts w:ascii="Arial" w:hAnsi="Arial" w:cs="Arial"/>
          <w:bCs/>
          <w:sz w:val="20"/>
          <w:szCs w:val="20"/>
          <w:lang w:eastAsia="zh-TW"/>
        </w:rPr>
        <w:t xml:space="preserve"> Overall depreciation</w:t>
      </w:r>
      <w:r w:rsidR="00036CC3" w:rsidRPr="00713961">
        <w:rPr>
          <w:rFonts w:ascii="Arial" w:hAnsi="Arial" w:cs="Arial"/>
          <w:bCs/>
          <w:sz w:val="20"/>
          <w:szCs w:val="20"/>
          <w:lang w:eastAsia="zh-TW"/>
        </w:rPr>
        <w:t xml:space="preserve"> and amortization</w:t>
      </w:r>
      <w:r w:rsidRPr="00713961">
        <w:rPr>
          <w:rFonts w:ascii="Arial" w:hAnsi="Arial" w:cs="Arial"/>
          <w:bCs/>
          <w:sz w:val="20"/>
          <w:szCs w:val="20"/>
          <w:lang w:eastAsia="zh-TW"/>
        </w:rPr>
        <w:t xml:space="preserve"> decreased from the prior period due to no significant changes in assets that were not directly related to manufacturing and the Company’s amortization policy which is based on a declining balance basis. During the </w:t>
      </w:r>
      <w:r w:rsidR="00036CC3" w:rsidRPr="00713961">
        <w:rPr>
          <w:rFonts w:ascii="Arial" w:hAnsi="Arial" w:cs="Arial"/>
          <w:bCs/>
          <w:sz w:val="20"/>
          <w:szCs w:val="20"/>
          <w:lang w:eastAsia="zh-TW"/>
        </w:rPr>
        <w:t>year</w:t>
      </w:r>
      <w:r w:rsidRPr="00713961">
        <w:rPr>
          <w:rFonts w:ascii="Arial" w:hAnsi="Arial" w:cs="Arial"/>
          <w:bCs/>
          <w:sz w:val="20"/>
          <w:szCs w:val="20"/>
          <w:lang w:eastAsia="zh-TW"/>
        </w:rPr>
        <w:t xml:space="preserve"> ended </w:t>
      </w:r>
      <w:r w:rsidR="00036CC3" w:rsidRPr="00713961">
        <w:rPr>
          <w:rFonts w:ascii="Arial" w:hAnsi="Arial" w:cs="Arial"/>
          <w:bCs/>
          <w:sz w:val="20"/>
          <w:szCs w:val="20"/>
          <w:lang w:eastAsia="zh-TW"/>
        </w:rPr>
        <w:t>December 31</w:t>
      </w:r>
      <w:r w:rsidRPr="00713961">
        <w:rPr>
          <w:rFonts w:ascii="Arial" w:hAnsi="Arial" w:cs="Arial"/>
          <w:bCs/>
          <w:sz w:val="20"/>
          <w:szCs w:val="20"/>
          <w:lang w:eastAsia="zh-TW"/>
        </w:rPr>
        <w:t>, 2021, $</w:t>
      </w:r>
      <w:r w:rsidR="00036CC3" w:rsidRPr="00713961">
        <w:rPr>
          <w:rFonts w:ascii="Arial" w:hAnsi="Arial" w:cs="Arial"/>
          <w:bCs/>
          <w:sz w:val="20"/>
          <w:szCs w:val="20"/>
          <w:lang w:eastAsia="zh-TW"/>
        </w:rPr>
        <w:t>1,384,960</w:t>
      </w:r>
      <w:r w:rsidRPr="00713961">
        <w:rPr>
          <w:rFonts w:ascii="Arial" w:hAnsi="Arial" w:cs="Arial"/>
          <w:bCs/>
          <w:sz w:val="20"/>
          <w:szCs w:val="20"/>
          <w:lang w:eastAsia="zh-TW"/>
        </w:rPr>
        <w:t xml:space="preserve"> in additional depreciation was included in cost of sales (</w:t>
      </w:r>
      <w:r w:rsidR="00713961" w:rsidRPr="00713961">
        <w:rPr>
          <w:rFonts w:ascii="Arial" w:hAnsi="Arial" w:cs="Arial"/>
          <w:bCs/>
          <w:sz w:val="20"/>
          <w:szCs w:val="20"/>
          <w:lang w:eastAsia="zh-TW"/>
        </w:rPr>
        <w:t>year</w:t>
      </w:r>
      <w:r w:rsidRPr="00713961">
        <w:rPr>
          <w:rFonts w:ascii="Arial" w:hAnsi="Arial" w:cs="Arial"/>
          <w:bCs/>
          <w:sz w:val="20"/>
          <w:szCs w:val="20"/>
          <w:lang w:eastAsia="zh-TW"/>
        </w:rPr>
        <w:t xml:space="preserve"> ended </w:t>
      </w:r>
      <w:r w:rsidR="00713961" w:rsidRPr="00713961">
        <w:rPr>
          <w:rFonts w:ascii="Arial" w:hAnsi="Arial" w:cs="Arial"/>
          <w:bCs/>
          <w:sz w:val="20"/>
          <w:szCs w:val="20"/>
          <w:lang w:eastAsia="zh-TW"/>
        </w:rPr>
        <w:t>December 31</w:t>
      </w:r>
      <w:r w:rsidRPr="00713961">
        <w:rPr>
          <w:rFonts w:ascii="Arial" w:hAnsi="Arial" w:cs="Arial"/>
          <w:bCs/>
          <w:sz w:val="20"/>
          <w:szCs w:val="20"/>
          <w:lang w:eastAsia="zh-TW"/>
        </w:rPr>
        <w:t>, 2020 – $</w:t>
      </w:r>
      <w:r w:rsidR="00713961" w:rsidRPr="00713961">
        <w:rPr>
          <w:rFonts w:ascii="Arial" w:hAnsi="Arial" w:cs="Arial"/>
          <w:bCs/>
          <w:sz w:val="20"/>
          <w:szCs w:val="20"/>
          <w:lang w:eastAsia="zh-TW"/>
        </w:rPr>
        <w:t>1,348,358</w:t>
      </w:r>
      <w:r w:rsidRPr="00713961">
        <w:rPr>
          <w:rFonts w:ascii="Arial" w:hAnsi="Arial" w:cs="Arial"/>
          <w:bCs/>
          <w:sz w:val="20"/>
          <w:szCs w:val="20"/>
          <w:lang w:eastAsia="zh-TW"/>
        </w:rPr>
        <w:t xml:space="preserve">). </w:t>
      </w:r>
      <w:r w:rsidRPr="00713961">
        <w:rPr>
          <w:rFonts w:ascii="Arial" w:eastAsia="Times New Roman" w:hAnsi="Arial" w:cs="Arial"/>
          <w:bCs/>
          <w:sz w:val="20"/>
          <w:szCs w:val="20"/>
          <w:lang w:val="en-CA" w:eastAsia="zh-TW"/>
        </w:rPr>
        <w:t>This slight increase is due to the manufacturing equipment that was purchased at the end of January 2021.</w:t>
      </w:r>
    </w:p>
    <w:p w14:paraId="10796198" w14:textId="77777777" w:rsidR="005B4532" w:rsidRPr="00713961" w:rsidRDefault="005B4532" w:rsidP="005B4532">
      <w:pPr>
        <w:keepNext/>
        <w:adjustRightInd w:val="0"/>
        <w:jc w:val="both"/>
        <w:rPr>
          <w:rFonts w:ascii="Arial" w:hAnsi="Arial" w:cs="Arial"/>
          <w:bCs/>
          <w:sz w:val="20"/>
          <w:szCs w:val="20"/>
          <w:lang w:eastAsia="zh-TW"/>
        </w:rPr>
      </w:pPr>
    </w:p>
    <w:p w14:paraId="1BA1CCFA" w14:textId="77AC4092" w:rsidR="005B4532" w:rsidRPr="00713961" w:rsidRDefault="005B4532" w:rsidP="005B4532">
      <w:pPr>
        <w:keepNext/>
        <w:adjustRightInd w:val="0"/>
        <w:jc w:val="both"/>
        <w:rPr>
          <w:rFonts w:ascii="Arial" w:eastAsia="Times New Roman" w:hAnsi="Arial" w:cs="Arial"/>
          <w:bCs/>
          <w:sz w:val="20"/>
          <w:szCs w:val="20"/>
          <w:lang w:val="en-CA" w:eastAsia="zh-TW"/>
        </w:rPr>
      </w:pPr>
      <w:r w:rsidRPr="00713961">
        <w:rPr>
          <w:rFonts w:ascii="Arial" w:hAnsi="Arial" w:cs="Arial"/>
          <w:bCs/>
          <w:sz w:val="20"/>
          <w:szCs w:val="20"/>
          <w:u w:val="single"/>
          <w:lang w:eastAsia="zh-TW"/>
        </w:rPr>
        <w:t xml:space="preserve">Management fees for the </w:t>
      </w:r>
      <w:r w:rsidR="00713961" w:rsidRPr="00713961">
        <w:rPr>
          <w:rFonts w:ascii="Arial" w:hAnsi="Arial" w:cs="Arial"/>
          <w:bCs/>
          <w:sz w:val="20"/>
          <w:szCs w:val="20"/>
          <w:u w:val="single"/>
          <w:lang w:eastAsia="zh-TW"/>
        </w:rPr>
        <w:t>year</w:t>
      </w:r>
      <w:r w:rsidRPr="00713961">
        <w:rPr>
          <w:rFonts w:ascii="Arial" w:hAnsi="Arial" w:cs="Arial"/>
          <w:bCs/>
          <w:sz w:val="20"/>
          <w:szCs w:val="20"/>
          <w:u w:val="single"/>
          <w:lang w:eastAsia="zh-TW"/>
        </w:rPr>
        <w:t xml:space="preserve"> ended </w:t>
      </w:r>
      <w:r w:rsidR="00713961" w:rsidRPr="00713961">
        <w:rPr>
          <w:rFonts w:ascii="Arial" w:hAnsi="Arial" w:cs="Arial"/>
          <w:bCs/>
          <w:sz w:val="20"/>
          <w:szCs w:val="20"/>
          <w:u w:val="single"/>
          <w:lang w:eastAsia="zh-TW"/>
        </w:rPr>
        <w:t>December 31</w:t>
      </w:r>
      <w:r w:rsidRPr="00713961">
        <w:rPr>
          <w:rFonts w:ascii="Arial" w:hAnsi="Arial" w:cs="Arial"/>
          <w:bCs/>
          <w:sz w:val="20"/>
          <w:szCs w:val="20"/>
          <w:u w:val="single"/>
          <w:lang w:eastAsia="zh-TW"/>
        </w:rPr>
        <w:t xml:space="preserve">, </w:t>
      </w:r>
      <w:proofErr w:type="gramStart"/>
      <w:r w:rsidRPr="00713961">
        <w:rPr>
          <w:rFonts w:ascii="Arial" w:hAnsi="Arial" w:cs="Arial"/>
          <w:bCs/>
          <w:sz w:val="20"/>
          <w:szCs w:val="20"/>
          <w:u w:val="single"/>
          <w:lang w:eastAsia="zh-TW"/>
        </w:rPr>
        <w:t>2021</w:t>
      </w:r>
      <w:proofErr w:type="gramEnd"/>
      <w:r w:rsidRPr="00713961">
        <w:rPr>
          <w:rFonts w:ascii="Arial" w:hAnsi="Arial" w:cs="Arial"/>
          <w:bCs/>
          <w:sz w:val="20"/>
          <w:szCs w:val="20"/>
          <w:u w:val="single"/>
          <w:lang w:eastAsia="zh-TW"/>
        </w:rPr>
        <w:t xml:space="preserve"> $</w:t>
      </w:r>
      <w:r w:rsidR="00713961" w:rsidRPr="00713961">
        <w:rPr>
          <w:rFonts w:ascii="Arial" w:hAnsi="Arial" w:cs="Arial"/>
          <w:bCs/>
          <w:sz w:val="20"/>
          <w:szCs w:val="20"/>
          <w:u w:val="single"/>
          <w:lang w:eastAsia="zh-TW"/>
        </w:rPr>
        <w:t>55,246</w:t>
      </w:r>
      <w:r w:rsidRPr="00713961">
        <w:rPr>
          <w:rFonts w:ascii="Arial" w:hAnsi="Arial" w:cs="Arial"/>
          <w:bCs/>
          <w:sz w:val="20"/>
          <w:szCs w:val="20"/>
          <w:u w:val="single"/>
          <w:lang w:eastAsia="zh-TW"/>
        </w:rPr>
        <w:t xml:space="preserve"> (</w:t>
      </w:r>
      <w:r w:rsidR="00713961" w:rsidRPr="00713961">
        <w:rPr>
          <w:rFonts w:ascii="Arial" w:hAnsi="Arial" w:cs="Arial"/>
          <w:bCs/>
          <w:sz w:val="20"/>
          <w:szCs w:val="20"/>
          <w:u w:val="single"/>
          <w:lang w:eastAsia="zh-TW"/>
        </w:rPr>
        <w:t>year</w:t>
      </w:r>
      <w:r w:rsidRPr="00713961">
        <w:rPr>
          <w:rFonts w:ascii="Arial" w:hAnsi="Arial" w:cs="Arial"/>
          <w:bCs/>
          <w:sz w:val="20"/>
          <w:szCs w:val="20"/>
          <w:u w:val="single"/>
          <w:lang w:eastAsia="zh-TW"/>
        </w:rPr>
        <w:t xml:space="preserve"> ended </w:t>
      </w:r>
      <w:r w:rsidR="00713961" w:rsidRPr="00713961">
        <w:rPr>
          <w:rFonts w:ascii="Arial" w:hAnsi="Arial" w:cs="Arial"/>
          <w:bCs/>
          <w:sz w:val="20"/>
          <w:szCs w:val="20"/>
          <w:u w:val="single"/>
          <w:lang w:eastAsia="zh-TW"/>
        </w:rPr>
        <w:t>December 31</w:t>
      </w:r>
      <w:r w:rsidRPr="00713961">
        <w:rPr>
          <w:rFonts w:ascii="Arial" w:hAnsi="Arial" w:cs="Arial"/>
          <w:bCs/>
          <w:sz w:val="20"/>
          <w:szCs w:val="20"/>
          <w:u w:val="single"/>
          <w:lang w:eastAsia="zh-TW"/>
        </w:rPr>
        <w:t>, 2020 – $</w:t>
      </w:r>
      <w:r w:rsidR="00713961" w:rsidRPr="00713961">
        <w:rPr>
          <w:rFonts w:ascii="Arial" w:hAnsi="Arial" w:cs="Arial"/>
          <w:bCs/>
          <w:sz w:val="20"/>
          <w:szCs w:val="20"/>
          <w:u w:val="single"/>
          <w:lang w:eastAsia="zh-TW"/>
        </w:rPr>
        <w:t>267,400</w:t>
      </w:r>
      <w:r w:rsidRPr="00713961">
        <w:rPr>
          <w:rFonts w:ascii="Arial" w:hAnsi="Arial" w:cs="Arial"/>
          <w:bCs/>
          <w:sz w:val="20"/>
          <w:szCs w:val="20"/>
          <w:u w:val="single"/>
          <w:lang w:eastAsia="zh-TW"/>
        </w:rPr>
        <w:t>).</w:t>
      </w:r>
      <w:r w:rsidRPr="00713961">
        <w:rPr>
          <w:rFonts w:ascii="Arial" w:hAnsi="Arial" w:cs="Arial"/>
          <w:bCs/>
          <w:sz w:val="20"/>
          <w:szCs w:val="20"/>
          <w:lang w:eastAsia="zh-TW"/>
        </w:rPr>
        <w:t xml:space="preserve">  </w:t>
      </w:r>
      <w:r w:rsidRPr="00713961">
        <w:rPr>
          <w:rFonts w:ascii="Arial" w:eastAsia="Times New Roman" w:hAnsi="Arial" w:cs="Arial"/>
          <w:bCs/>
          <w:sz w:val="20"/>
          <w:szCs w:val="20"/>
          <w:lang w:val="en-CA" w:eastAsia="zh-TW"/>
        </w:rPr>
        <w:t>Management fees decreased due to a change from a consulting contract to an employment relationship.</w:t>
      </w:r>
    </w:p>
    <w:p w14:paraId="2941549C" w14:textId="77777777" w:rsidR="005B4532" w:rsidRPr="00713961" w:rsidRDefault="005B4532" w:rsidP="005B4532">
      <w:pPr>
        <w:keepNext/>
        <w:adjustRightInd w:val="0"/>
        <w:jc w:val="both"/>
        <w:rPr>
          <w:rFonts w:ascii="Arial" w:hAnsi="Arial" w:cs="Arial"/>
          <w:bCs/>
          <w:sz w:val="20"/>
          <w:szCs w:val="20"/>
          <w:lang w:eastAsia="zh-TW"/>
        </w:rPr>
      </w:pPr>
    </w:p>
    <w:p w14:paraId="4A57AA94" w14:textId="2037AB42" w:rsidR="005B4532" w:rsidRPr="00713961" w:rsidRDefault="005B4532" w:rsidP="005B4532">
      <w:pPr>
        <w:keepNext/>
        <w:adjustRightInd w:val="0"/>
        <w:jc w:val="both"/>
        <w:rPr>
          <w:rFonts w:ascii="Arial" w:hAnsi="Arial" w:cs="Arial"/>
          <w:bCs/>
          <w:sz w:val="20"/>
          <w:szCs w:val="20"/>
          <w:lang w:eastAsia="zh-TW"/>
        </w:rPr>
      </w:pPr>
      <w:r w:rsidRPr="00713961">
        <w:rPr>
          <w:rFonts w:ascii="Arial" w:hAnsi="Arial" w:cs="Arial"/>
          <w:bCs/>
          <w:sz w:val="20"/>
          <w:szCs w:val="20"/>
          <w:u w:val="single"/>
          <w:lang w:eastAsia="zh-TW"/>
        </w:rPr>
        <w:t xml:space="preserve">Professional fees for the </w:t>
      </w:r>
      <w:r w:rsidR="00713961" w:rsidRPr="00713961">
        <w:rPr>
          <w:rFonts w:ascii="Arial" w:hAnsi="Arial" w:cs="Arial"/>
          <w:bCs/>
          <w:sz w:val="20"/>
          <w:szCs w:val="20"/>
          <w:u w:val="single"/>
          <w:lang w:eastAsia="zh-TW"/>
        </w:rPr>
        <w:t>year</w:t>
      </w:r>
      <w:r w:rsidRPr="00713961">
        <w:rPr>
          <w:rFonts w:ascii="Arial" w:hAnsi="Arial" w:cs="Arial"/>
          <w:bCs/>
          <w:sz w:val="20"/>
          <w:szCs w:val="20"/>
          <w:u w:val="single"/>
          <w:lang w:eastAsia="zh-TW"/>
        </w:rPr>
        <w:t xml:space="preserve"> ended </w:t>
      </w:r>
      <w:r w:rsidR="00713961" w:rsidRPr="00713961">
        <w:rPr>
          <w:rFonts w:ascii="Arial" w:hAnsi="Arial" w:cs="Arial"/>
          <w:bCs/>
          <w:sz w:val="20"/>
          <w:szCs w:val="20"/>
          <w:u w:val="single"/>
          <w:lang w:eastAsia="zh-TW"/>
        </w:rPr>
        <w:t>December 31</w:t>
      </w:r>
      <w:r w:rsidRPr="00713961">
        <w:rPr>
          <w:rFonts w:ascii="Arial" w:hAnsi="Arial" w:cs="Arial"/>
          <w:bCs/>
          <w:sz w:val="20"/>
          <w:szCs w:val="20"/>
          <w:u w:val="single"/>
          <w:lang w:eastAsia="zh-TW"/>
        </w:rPr>
        <w:t xml:space="preserve">, </w:t>
      </w:r>
      <w:proofErr w:type="gramStart"/>
      <w:r w:rsidRPr="00713961">
        <w:rPr>
          <w:rFonts w:ascii="Arial" w:hAnsi="Arial" w:cs="Arial"/>
          <w:bCs/>
          <w:sz w:val="20"/>
          <w:szCs w:val="20"/>
          <w:u w:val="single"/>
          <w:lang w:eastAsia="zh-TW"/>
        </w:rPr>
        <w:t>2021</w:t>
      </w:r>
      <w:proofErr w:type="gramEnd"/>
      <w:r w:rsidRPr="00713961">
        <w:rPr>
          <w:rFonts w:ascii="Arial" w:hAnsi="Arial" w:cs="Arial"/>
          <w:bCs/>
          <w:sz w:val="20"/>
          <w:szCs w:val="20"/>
          <w:u w:val="single"/>
          <w:lang w:eastAsia="zh-TW"/>
        </w:rPr>
        <w:t xml:space="preserve"> $</w:t>
      </w:r>
      <w:r w:rsidR="00713961" w:rsidRPr="00713961">
        <w:rPr>
          <w:rFonts w:ascii="Arial" w:hAnsi="Arial" w:cs="Arial"/>
          <w:bCs/>
          <w:sz w:val="20"/>
          <w:szCs w:val="20"/>
          <w:u w:val="single"/>
          <w:lang w:eastAsia="zh-TW"/>
        </w:rPr>
        <w:t>316,029</w:t>
      </w:r>
      <w:r w:rsidRPr="00713961">
        <w:rPr>
          <w:rFonts w:ascii="Arial" w:hAnsi="Arial" w:cs="Arial"/>
          <w:bCs/>
          <w:sz w:val="20"/>
          <w:szCs w:val="20"/>
          <w:u w:val="single"/>
          <w:lang w:eastAsia="zh-TW"/>
        </w:rPr>
        <w:t xml:space="preserve"> (</w:t>
      </w:r>
      <w:r w:rsidR="00713961" w:rsidRPr="00713961">
        <w:rPr>
          <w:rFonts w:ascii="Arial" w:hAnsi="Arial" w:cs="Arial"/>
          <w:bCs/>
          <w:sz w:val="20"/>
          <w:szCs w:val="20"/>
          <w:u w:val="single"/>
          <w:lang w:eastAsia="zh-TW"/>
        </w:rPr>
        <w:t>year</w:t>
      </w:r>
      <w:r w:rsidRPr="00713961">
        <w:rPr>
          <w:rFonts w:ascii="Arial" w:hAnsi="Arial" w:cs="Arial"/>
          <w:bCs/>
          <w:sz w:val="20"/>
          <w:szCs w:val="20"/>
          <w:u w:val="single"/>
          <w:lang w:eastAsia="zh-TW"/>
        </w:rPr>
        <w:t xml:space="preserve"> ended </w:t>
      </w:r>
      <w:r w:rsidR="00713961" w:rsidRPr="00713961">
        <w:rPr>
          <w:rFonts w:ascii="Arial" w:hAnsi="Arial" w:cs="Arial"/>
          <w:bCs/>
          <w:sz w:val="20"/>
          <w:szCs w:val="20"/>
          <w:u w:val="single"/>
          <w:lang w:eastAsia="zh-TW"/>
        </w:rPr>
        <w:t>December 31</w:t>
      </w:r>
      <w:r w:rsidRPr="00713961">
        <w:rPr>
          <w:rFonts w:ascii="Arial" w:hAnsi="Arial" w:cs="Arial"/>
          <w:bCs/>
          <w:sz w:val="20"/>
          <w:szCs w:val="20"/>
          <w:u w:val="single"/>
          <w:lang w:eastAsia="zh-TW"/>
        </w:rPr>
        <w:t>, 2020 – $</w:t>
      </w:r>
      <w:r w:rsidR="00713961" w:rsidRPr="00713961">
        <w:rPr>
          <w:rFonts w:ascii="Arial" w:hAnsi="Arial" w:cs="Arial"/>
          <w:bCs/>
          <w:sz w:val="20"/>
          <w:szCs w:val="20"/>
          <w:u w:val="single"/>
          <w:lang w:eastAsia="zh-TW"/>
        </w:rPr>
        <w:t>432,300</w:t>
      </w:r>
      <w:r w:rsidRPr="00713961">
        <w:rPr>
          <w:rFonts w:ascii="Arial" w:hAnsi="Arial" w:cs="Arial"/>
          <w:bCs/>
          <w:sz w:val="20"/>
          <w:szCs w:val="20"/>
          <w:u w:val="single"/>
          <w:lang w:eastAsia="zh-TW"/>
        </w:rPr>
        <w:t>).</w:t>
      </w:r>
      <w:r w:rsidRPr="00713961">
        <w:rPr>
          <w:rFonts w:ascii="Arial" w:hAnsi="Arial" w:cs="Arial"/>
          <w:bCs/>
          <w:sz w:val="20"/>
          <w:szCs w:val="20"/>
          <w:lang w:eastAsia="zh-TW"/>
        </w:rPr>
        <w:t xml:space="preserve"> </w:t>
      </w:r>
      <w:r w:rsidRPr="00713961">
        <w:rPr>
          <w:rFonts w:ascii="Arial" w:hAnsi="Arial" w:cs="Arial"/>
          <w:sz w:val="20"/>
          <w:szCs w:val="20"/>
        </w:rPr>
        <w:t xml:space="preserve">Professional fees decreased as there was no </w:t>
      </w:r>
      <w:r w:rsidR="00713961" w:rsidRPr="00713961">
        <w:rPr>
          <w:rFonts w:ascii="Arial" w:hAnsi="Arial" w:cs="Arial"/>
          <w:sz w:val="20"/>
          <w:szCs w:val="20"/>
        </w:rPr>
        <w:t xml:space="preserve">completed </w:t>
      </w:r>
      <w:r w:rsidRPr="00713961">
        <w:rPr>
          <w:rFonts w:ascii="Arial" w:hAnsi="Arial" w:cs="Arial"/>
          <w:sz w:val="20"/>
          <w:szCs w:val="20"/>
        </w:rPr>
        <w:t>acquisitions, special work or projects requiring professionals in the current period</w:t>
      </w:r>
      <w:r w:rsidR="00963146" w:rsidRPr="00713961">
        <w:rPr>
          <w:rFonts w:ascii="Arial" w:hAnsi="Arial" w:cs="Arial"/>
          <w:sz w:val="20"/>
          <w:szCs w:val="20"/>
        </w:rPr>
        <w:t xml:space="preserve"> compared to the prior period when the asset acquisition of Novum was completed July 20, 2020.</w:t>
      </w:r>
    </w:p>
    <w:p w14:paraId="2037DBAA" w14:textId="77777777" w:rsidR="005B4532" w:rsidRPr="005F1E5E" w:rsidRDefault="005B4532" w:rsidP="005B4532">
      <w:pPr>
        <w:keepNext/>
        <w:adjustRightInd w:val="0"/>
        <w:jc w:val="both"/>
        <w:rPr>
          <w:rFonts w:ascii="Arial" w:hAnsi="Arial" w:cs="Arial"/>
          <w:bCs/>
          <w:sz w:val="20"/>
          <w:szCs w:val="20"/>
          <w:lang w:eastAsia="zh-TW"/>
        </w:rPr>
      </w:pPr>
    </w:p>
    <w:p w14:paraId="19F2D1D1" w14:textId="025F41F1" w:rsidR="005B4532" w:rsidRPr="005F1E5E" w:rsidRDefault="005B4532" w:rsidP="005B4532">
      <w:pPr>
        <w:keepNext/>
        <w:adjustRightInd w:val="0"/>
        <w:jc w:val="both"/>
        <w:rPr>
          <w:rFonts w:ascii="Arial" w:hAnsi="Arial" w:cs="Arial"/>
          <w:bCs/>
          <w:sz w:val="20"/>
          <w:szCs w:val="20"/>
          <w:lang w:eastAsia="zh-TW"/>
        </w:rPr>
      </w:pPr>
      <w:r w:rsidRPr="005F1E5E">
        <w:rPr>
          <w:rFonts w:ascii="Arial" w:hAnsi="Arial" w:cs="Arial"/>
          <w:bCs/>
          <w:sz w:val="20"/>
          <w:szCs w:val="20"/>
          <w:u w:val="single"/>
          <w:lang w:eastAsia="zh-TW"/>
        </w:rPr>
        <w:t xml:space="preserve">Salaries and benefits for the </w:t>
      </w:r>
      <w:r w:rsidR="00713961" w:rsidRPr="005F1E5E">
        <w:rPr>
          <w:rFonts w:ascii="Arial" w:hAnsi="Arial" w:cs="Arial"/>
          <w:bCs/>
          <w:sz w:val="20"/>
          <w:szCs w:val="20"/>
          <w:u w:val="single"/>
          <w:lang w:eastAsia="zh-TW"/>
        </w:rPr>
        <w:t>year</w:t>
      </w:r>
      <w:r w:rsidRPr="005F1E5E">
        <w:rPr>
          <w:rFonts w:ascii="Arial" w:hAnsi="Arial" w:cs="Arial"/>
          <w:bCs/>
          <w:sz w:val="20"/>
          <w:szCs w:val="20"/>
          <w:u w:val="single"/>
          <w:lang w:eastAsia="zh-TW"/>
        </w:rPr>
        <w:t xml:space="preserve"> ended </w:t>
      </w:r>
      <w:r w:rsidR="00713961" w:rsidRPr="005F1E5E">
        <w:rPr>
          <w:rFonts w:ascii="Arial" w:hAnsi="Arial" w:cs="Arial"/>
          <w:bCs/>
          <w:sz w:val="20"/>
          <w:szCs w:val="20"/>
          <w:u w:val="single"/>
          <w:lang w:eastAsia="zh-TW"/>
        </w:rPr>
        <w:t>December 31</w:t>
      </w:r>
      <w:r w:rsidRPr="005F1E5E">
        <w:rPr>
          <w:rFonts w:ascii="Arial" w:hAnsi="Arial" w:cs="Arial"/>
          <w:bCs/>
          <w:sz w:val="20"/>
          <w:szCs w:val="20"/>
          <w:u w:val="single"/>
          <w:lang w:eastAsia="zh-TW"/>
        </w:rPr>
        <w:t xml:space="preserve">, </w:t>
      </w:r>
      <w:proofErr w:type="gramStart"/>
      <w:r w:rsidRPr="005F1E5E">
        <w:rPr>
          <w:rFonts w:ascii="Arial" w:hAnsi="Arial" w:cs="Arial"/>
          <w:bCs/>
          <w:sz w:val="20"/>
          <w:szCs w:val="20"/>
          <w:u w:val="single"/>
          <w:lang w:eastAsia="zh-TW"/>
        </w:rPr>
        <w:t>2021</w:t>
      </w:r>
      <w:proofErr w:type="gramEnd"/>
      <w:r w:rsidRPr="005F1E5E">
        <w:rPr>
          <w:rFonts w:ascii="Arial" w:hAnsi="Arial" w:cs="Arial"/>
          <w:bCs/>
          <w:sz w:val="20"/>
          <w:szCs w:val="20"/>
          <w:u w:val="single"/>
          <w:lang w:eastAsia="zh-TW"/>
        </w:rPr>
        <w:t xml:space="preserve"> $</w:t>
      </w:r>
      <w:r w:rsidR="00713961" w:rsidRPr="005F1E5E">
        <w:rPr>
          <w:rFonts w:ascii="Arial" w:hAnsi="Arial" w:cs="Arial"/>
          <w:bCs/>
          <w:sz w:val="20"/>
          <w:szCs w:val="20"/>
          <w:u w:val="single"/>
          <w:lang w:eastAsia="zh-TW"/>
        </w:rPr>
        <w:t>3,138,570</w:t>
      </w:r>
      <w:r w:rsidRPr="005F1E5E">
        <w:rPr>
          <w:rFonts w:ascii="Arial" w:hAnsi="Arial" w:cs="Arial"/>
          <w:bCs/>
          <w:sz w:val="20"/>
          <w:szCs w:val="20"/>
          <w:u w:val="single"/>
          <w:lang w:eastAsia="zh-TW"/>
        </w:rPr>
        <w:t xml:space="preserve"> (</w:t>
      </w:r>
      <w:r w:rsidR="00713961" w:rsidRPr="005F1E5E">
        <w:rPr>
          <w:rFonts w:ascii="Arial" w:hAnsi="Arial" w:cs="Arial"/>
          <w:bCs/>
          <w:sz w:val="20"/>
          <w:szCs w:val="20"/>
          <w:u w:val="single"/>
          <w:lang w:eastAsia="zh-TW"/>
        </w:rPr>
        <w:t>year</w:t>
      </w:r>
      <w:r w:rsidRPr="005F1E5E">
        <w:rPr>
          <w:rFonts w:ascii="Arial" w:hAnsi="Arial" w:cs="Arial"/>
          <w:bCs/>
          <w:sz w:val="20"/>
          <w:szCs w:val="20"/>
          <w:u w:val="single"/>
          <w:lang w:eastAsia="zh-TW"/>
        </w:rPr>
        <w:t xml:space="preserve"> ended </w:t>
      </w:r>
      <w:r w:rsidR="00713961" w:rsidRPr="005F1E5E">
        <w:rPr>
          <w:rFonts w:ascii="Arial" w:hAnsi="Arial" w:cs="Arial"/>
          <w:bCs/>
          <w:sz w:val="20"/>
          <w:szCs w:val="20"/>
          <w:u w:val="single"/>
          <w:lang w:eastAsia="zh-TW"/>
        </w:rPr>
        <w:t>December 31</w:t>
      </w:r>
      <w:r w:rsidRPr="005F1E5E">
        <w:rPr>
          <w:rFonts w:ascii="Arial" w:hAnsi="Arial" w:cs="Arial"/>
          <w:bCs/>
          <w:sz w:val="20"/>
          <w:szCs w:val="20"/>
          <w:u w:val="single"/>
          <w:lang w:eastAsia="zh-TW"/>
        </w:rPr>
        <w:t>, 2020 – $</w:t>
      </w:r>
      <w:r w:rsidR="00713961" w:rsidRPr="005F1E5E">
        <w:rPr>
          <w:rFonts w:ascii="Arial" w:hAnsi="Arial" w:cs="Arial"/>
          <w:bCs/>
          <w:sz w:val="20"/>
          <w:szCs w:val="20"/>
          <w:u w:val="single"/>
          <w:lang w:eastAsia="zh-TW"/>
        </w:rPr>
        <w:t>2,646,994</w:t>
      </w:r>
      <w:r w:rsidRPr="005F1E5E">
        <w:rPr>
          <w:rFonts w:ascii="Arial" w:hAnsi="Arial" w:cs="Arial"/>
          <w:bCs/>
          <w:sz w:val="20"/>
          <w:szCs w:val="20"/>
          <w:u w:val="single"/>
          <w:lang w:eastAsia="zh-TW"/>
        </w:rPr>
        <w:t>).</w:t>
      </w:r>
      <w:r w:rsidRPr="005F1E5E">
        <w:rPr>
          <w:rFonts w:ascii="Arial" w:hAnsi="Arial" w:cs="Arial"/>
          <w:bCs/>
          <w:sz w:val="20"/>
          <w:szCs w:val="20"/>
          <w:lang w:eastAsia="zh-TW"/>
        </w:rPr>
        <w:t xml:space="preserve"> </w:t>
      </w:r>
      <w:r w:rsidRPr="005F1E5E">
        <w:rPr>
          <w:rFonts w:ascii="Arial" w:hAnsi="Arial" w:cs="Arial"/>
          <w:sz w:val="20"/>
          <w:szCs w:val="20"/>
        </w:rPr>
        <w:t>There is an increase in salaries and benefits due to a change in a consulting contract to an employment relationship, severance costs in the first quarter of 2021, and a reimbursement of the salary cuts implemented in the prior fiscal year 2020 due to the hard work and results accomplished.</w:t>
      </w:r>
      <w:r w:rsidR="005F1E5E" w:rsidRPr="005F1E5E">
        <w:rPr>
          <w:rFonts w:ascii="Arial" w:hAnsi="Arial" w:cs="Arial"/>
          <w:sz w:val="20"/>
          <w:szCs w:val="20"/>
        </w:rPr>
        <w:t xml:space="preserve"> Additionally, there are accruals for the 2021 incentive plan which will not be finalized until the year end audit is completed. </w:t>
      </w:r>
    </w:p>
    <w:p w14:paraId="1367F63A" w14:textId="77777777" w:rsidR="005B4532" w:rsidRPr="005F1E5E" w:rsidRDefault="005B4532" w:rsidP="005B4532">
      <w:pPr>
        <w:keepNext/>
        <w:adjustRightInd w:val="0"/>
        <w:jc w:val="both"/>
        <w:rPr>
          <w:rFonts w:ascii="Arial" w:hAnsi="Arial" w:cs="Arial"/>
          <w:bCs/>
          <w:sz w:val="20"/>
          <w:szCs w:val="20"/>
          <w:lang w:eastAsia="zh-TW"/>
        </w:rPr>
      </w:pPr>
    </w:p>
    <w:p w14:paraId="165DC47F" w14:textId="313EABEB" w:rsidR="005B4532" w:rsidRPr="005F1E5E" w:rsidRDefault="005B4532" w:rsidP="005B4532">
      <w:pPr>
        <w:keepNext/>
        <w:adjustRightInd w:val="0"/>
        <w:jc w:val="both"/>
        <w:rPr>
          <w:rFonts w:ascii="Arial" w:eastAsia="Times New Roman" w:hAnsi="Arial" w:cs="Arial"/>
          <w:bCs/>
          <w:sz w:val="20"/>
          <w:szCs w:val="20"/>
          <w:lang w:val="en-CA" w:eastAsia="zh-TW"/>
        </w:rPr>
      </w:pPr>
      <w:r w:rsidRPr="005F1E5E">
        <w:rPr>
          <w:rFonts w:ascii="Arial" w:hAnsi="Arial" w:cs="Arial"/>
          <w:bCs/>
          <w:sz w:val="20"/>
          <w:szCs w:val="20"/>
          <w:u w:val="single"/>
          <w:lang w:eastAsia="zh-TW"/>
        </w:rPr>
        <w:t xml:space="preserve">Share-based payments for the </w:t>
      </w:r>
      <w:r w:rsidR="005F1E5E" w:rsidRPr="005F1E5E">
        <w:rPr>
          <w:rFonts w:ascii="Arial" w:hAnsi="Arial" w:cs="Arial"/>
          <w:bCs/>
          <w:sz w:val="20"/>
          <w:szCs w:val="20"/>
          <w:u w:val="single"/>
          <w:lang w:eastAsia="zh-TW"/>
        </w:rPr>
        <w:t>year</w:t>
      </w:r>
      <w:r w:rsidRPr="005F1E5E">
        <w:rPr>
          <w:rFonts w:ascii="Arial" w:hAnsi="Arial" w:cs="Arial"/>
          <w:bCs/>
          <w:sz w:val="20"/>
          <w:szCs w:val="20"/>
          <w:u w:val="single"/>
          <w:lang w:eastAsia="zh-TW"/>
        </w:rPr>
        <w:t xml:space="preserve"> ended </w:t>
      </w:r>
      <w:r w:rsidR="005F1E5E" w:rsidRPr="005F1E5E">
        <w:rPr>
          <w:rFonts w:ascii="Arial" w:hAnsi="Arial" w:cs="Arial"/>
          <w:bCs/>
          <w:sz w:val="20"/>
          <w:szCs w:val="20"/>
          <w:u w:val="single"/>
          <w:lang w:eastAsia="zh-TW"/>
        </w:rPr>
        <w:t>December 31</w:t>
      </w:r>
      <w:r w:rsidRPr="005F1E5E">
        <w:rPr>
          <w:rFonts w:ascii="Arial" w:hAnsi="Arial" w:cs="Arial"/>
          <w:bCs/>
          <w:sz w:val="20"/>
          <w:szCs w:val="20"/>
          <w:u w:val="single"/>
          <w:lang w:eastAsia="zh-TW"/>
        </w:rPr>
        <w:t xml:space="preserve">, </w:t>
      </w:r>
      <w:proofErr w:type="gramStart"/>
      <w:r w:rsidRPr="005F1E5E">
        <w:rPr>
          <w:rFonts w:ascii="Arial" w:hAnsi="Arial" w:cs="Arial"/>
          <w:bCs/>
          <w:sz w:val="20"/>
          <w:szCs w:val="20"/>
          <w:u w:val="single"/>
          <w:lang w:eastAsia="zh-TW"/>
        </w:rPr>
        <w:t>2021</w:t>
      </w:r>
      <w:proofErr w:type="gramEnd"/>
      <w:r w:rsidRPr="005F1E5E">
        <w:rPr>
          <w:rFonts w:ascii="Arial" w:hAnsi="Arial" w:cs="Arial"/>
          <w:bCs/>
          <w:sz w:val="20"/>
          <w:szCs w:val="20"/>
          <w:u w:val="single"/>
          <w:lang w:eastAsia="zh-TW"/>
        </w:rPr>
        <w:t xml:space="preserve"> $</w:t>
      </w:r>
      <w:r w:rsidR="005F1E5E" w:rsidRPr="005F1E5E">
        <w:rPr>
          <w:rFonts w:ascii="Arial" w:hAnsi="Arial" w:cs="Arial"/>
          <w:bCs/>
          <w:sz w:val="20"/>
          <w:szCs w:val="20"/>
          <w:u w:val="single"/>
          <w:lang w:eastAsia="zh-TW"/>
        </w:rPr>
        <w:t>91,141</w:t>
      </w:r>
      <w:r w:rsidRPr="005F1E5E">
        <w:rPr>
          <w:rFonts w:ascii="Arial" w:hAnsi="Arial" w:cs="Arial"/>
          <w:bCs/>
          <w:sz w:val="20"/>
          <w:szCs w:val="20"/>
          <w:u w:val="single"/>
          <w:lang w:eastAsia="zh-TW"/>
        </w:rPr>
        <w:t xml:space="preserve"> (</w:t>
      </w:r>
      <w:r w:rsidR="005F1E5E" w:rsidRPr="005F1E5E">
        <w:rPr>
          <w:rFonts w:ascii="Arial" w:hAnsi="Arial" w:cs="Arial"/>
          <w:bCs/>
          <w:sz w:val="20"/>
          <w:szCs w:val="20"/>
          <w:u w:val="single"/>
          <w:lang w:eastAsia="zh-TW"/>
        </w:rPr>
        <w:t>year</w:t>
      </w:r>
      <w:r w:rsidRPr="005F1E5E">
        <w:rPr>
          <w:rFonts w:ascii="Arial" w:hAnsi="Arial" w:cs="Arial"/>
          <w:bCs/>
          <w:sz w:val="20"/>
          <w:szCs w:val="20"/>
          <w:u w:val="single"/>
          <w:lang w:eastAsia="zh-TW"/>
        </w:rPr>
        <w:t xml:space="preserve"> ended </w:t>
      </w:r>
      <w:r w:rsidR="005F1E5E" w:rsidRPr="005F1E5E">
        <w:rPr>
          <w:rFonts w:ascii="Arial" w:hAnsi="Arial" w:cs="Arial"/>
          <w:bCs/>
          <w:sz w:val="20"/>
          <w:szCs w:val="20"/>
          <w:u w:val="single"/>
          <w:lang w:eastAsia="zh-TW"/>
        </w:rPr>
        <w:t>December 31</w:t>
      </w:r>
      <w:r w:rsidRPr="005F1E5E">
        <w:rPr>
          <w:rFonts w:ascii="Arial" w:hAnsi="Arial" w:cs="Arial"/>
          <w:bCs/>
          <w:sz w:val="20"/>
          <w:szCs w:val="20"/>
          <w:u w:val="single"/>
          <w:lang w:eastAsia="zh-TW"/>
        </w:rPr>
        <w:t>, 2020 – $85,798).</w:t>
      </w:r>
      <w:r w:rsidRPr="005F1E5E">
        <w:rPr>
          <w:rFonts w:ascii="Arial" w:hAnsi="Arial" w:cs="Arial"/>
          <w:bCs/>
          <w:sz w:val="20"/>
          <w:szCs w:val="20"/>
          <w:lang w:eastAsia="zh-TW"/>
        </w:rPr>
        <w:t xml:space="preserve"> </w:t>
      </w:r>
      <w:r w:rsidRPr="005F1E5E">
        <w:rPr>
          <w:rFonts w:ascii="Arial" w:eastAsia="Times New Roman" w:hAnsi="Arial" w:cs="Arial"/>
          <w:bCs/>
          <w:sz w:val="20"/>
          <w:szCs w:val="20"/>
          <w:lang w:val="en-CA" w:eastAsia="zh-TW"/>
        </w:rPr>
        <w:t xml:space="preserve">This has </w:t>
      </w:r>
      <w:r w:rsidR="005F1E5E" w:rsidRPr="005F1E5E">
        <w:rPr>
          <w:rFonts w:ascii="Arial" w:eastAsia="Times New Roman" w:hAnsi="Arial" w:cs="Arial"/>
          <w:bCs/>
          <w:sz w:val="20"/>
          <w:szCs w:val="20"/>
          <w:lang w:val="en-CA" w:eastAsia="zh-TW"/>
        </w:rPr>
        <w:t>slightly increased</w:t>
      </w:r>
      <w:r w:rsidRPr="005F1E5E">
        <w:rPr>
          <w:rFonts w:ascii="Arial" w:eastAsia="Times New Roman" w:hAnsi="Arial" w:cs="Arial"/>
          <w:bCs/>
          <w:sz w:val="20"/>
          <w:szCs w:val="20"/>
          <w:lang w:val="en-CA" w:eastAsia="zh-TW"/>
        </w:rPr>
        <w:t xml:space="preserve"> due to the number of options being expensed in the comparative periods which was</w:t>
      </w:r>
      <w:r w:rsidR="005F1E5E" w:rsidRPr="005F1E5E">
        <w:rPr>
          <w:rFonts w:ascii="Arial" w:eastAsia="Times New Roman" w:hAnsi="Arial" w:cs="Arial"/>
          <w:bCs/>
          <w:sz w:val="20"/>
          <w:szCs w:val="20"/>
          <w:lang w:val="en-CA" w:eastAsia="zh-TW"/>
        </w:rPr>
        <w:t xml:space="preserve"> lower </w:t>
      </w:r>
      <w:r w:rsidRPr="005F1E5E">
        <w:rPr>
          <w:rFonts w:ascii="Arial" w:eastAsia="Times New Roman" w:hAnsi="Arial" w:cs="Arial"/>
          <w:bCs/>
          <w:sz w:val="20"/>
          <w:szCs w:val="20"/>
          <w:lang w:val="en-CA" w:eastAsia="zh-TW"/>
        </w:rPr>
        <w:t>than the current period. Options are expensed over eighteen months as they vest.</w:t>
      </w:r>
    </w:p>
    <w:p w14:paraId="7FFC5696" w14:textId="77777777" w:rsidR="005B4532" w:rsidRPr="005F1E5E" w:rsidRDefault="005B4532" w:rsidP="005B4532">
      <w:pPr>
        <w:keepNext/>
        <w:adjustRightInd w:val="0"/>
        <w:jc w:val="both"/>
        <w:rPr>
          <w:rFonts w:ascii="Arial" w:hAnsi="Arial" w:cs="Arial"/>
          <w:bCs/>
          <w:sz w:val="20"/>
          <w:szCs w:val="20"/>
          <w:lang w:eastAsia="zh-TW"/>
        </w:rPr>
      </w:pPr>
    </w:p>
    <w:p w14:paraId="5465ED54" w14:textId="77777777" w:rsidR="00666122" w:rsidRPr="005F1E5E" w:rsidRDefault="00666122" w:rsidP="00666122">
      <w:pPr>
        <w:keepNext/>
        <w:adjustRightInd w:val="0"/>
        <w:jc w:val="both"/>
        <w:rPr>
          <w:rFonts w:ascii="Arial" w:hAnsi="Arial" w:cs="Arial"/>
          <w:b/>
          <w:sz w:val="20"/>
          <w:szCs w:val="20"/>
          <w:lang w:eastAsia="zh-TW"/>
        </w:rPr>
      </w:pPr>
      <w:r w:rsidRPr="005F1E5E">
        <w:rPr>
          <w:rFonts w:ascii="Arial" w:hAnsi="Arial" w:cs="Arial"/>
          <w:b/>
          <w:sz w:val="20"/>
          <w:szCs w:val="20"/>
          <w:lang w:eastAsia="zh-TW"/>
        </w:rPr>
        <w:t xml:space="preserve">One-time Costs </w:t>
      </w:r>
    </w:p>
    <w:p w14:paraId="654E8096" w14:textId="77777777" w:rsidR="00666122" w:rsidRPr="005F1E5E" w:rsidRDefault="00666122" w:rsidP="00666122">
      <w:pPr>
        <w:keepNext/>
        <w:adjustRightInd w:val="0"/>
        <w:jc w:val="both"/>
        <w:rPr>
          <w:rFonts w:ascii="Arial" w:hAnsi="Arial" w:cs="Arial"/>
          <w:bCs/>
          <w:sz w:val="20"/>
          <w:szCs w:val="20"/>
          <w:lang w:eastAsia="zh-TW"/>
        </w:rPr>
      </w:pPr>
    </w:p>
    <w:p w14:paraId="0FA7E8DD" w14:textId="750BA6D4" w:rsidR="00666122" w:rsidRPr="005F1E5E" w:rsidRDefault="00666122" w:rsidP="00666122">
      <w:pPr>
        <w:keepNext/>
        <w:adjustRightInd w:val="0"/>
        <w:jc w:val="both"/>
        <w:rPr>
          <w:rFonts w:ascii="Arial" w:hAnsi="Arial" w:cs="Arial"/>
          <w:bCs/>
          <w:sz w:val="20"/>
          <w:szCs w:val="20"/>
          <w:lang w:eastAsia="zh-TW"/>
        </w:rPr>
      </w:pPr>
      <w:r w:rsidRPr="005F1E5E">
        <w:rPr>
          <w:rFonts w:ascii="Arial" w:hAnsi="Arial" w:cs="Arial"/>
          <w:bCs/>
          <w:sz w:val="20"/>
          <w:szCs w:val="20"/>
          <w:lang w:eastAsia="zh-TW"/>
        </w:rPr>
        <w:t xml:space="preserve">The Company incurred $331,702 in one-time and non-recurring costs related to employment and severance costs during the </w:t>
      </w:r>
      <w:r w:rsidR="005F1E5E" w:rsidRPr="005F1E5E">
        <w:rPr>
          <w:rFonts w:ascii="Arial" w:hAnsi="Arial" w:cs="Arial"/>
          <w:bCs/>
          <w:sz w:val="20"/>
          <w:szCs w:val="20"/>
          <w:lang w:eastAsia="zh-TW"/>
        </w:rPr>
        <w:t xml:space="preserve">year </w:t>
      </w:r>
      <w:r w:rsidRPr="005F1E5E">
        <w:rPr>
          <w:rFonts w:ascii="Arial" w:hAnsi="Arial" w:cs="Arial"/>
          <w:bCs/>
          <w:sz w:val="20"/>
          <w:szCs w:val="20"/>
          <w:lang w:eastAsia="zh-TW"/>
        </w:rPr>
        <w:t xml:space="preserve">ended </w:t>
      </w:r>
      <w:r w:rsidR="005F1E5E" w:rsidRPr="005F1E5E">
        <w:rPr>
          <w:rFonts w:ascii="Arial" w:hAnsi="Arial" w:cs="Arial"/>
          <w:bCs/>
          <w:sz w:val="20"/>
          <w:szCs w:val="20"/>
          <w:lang w:eastAsia="zh-TW"/>
        </w:rPr>
        <w:t>December 31</w:t>
      </w:r>
      <w:r w:rsidRPr="005F1E5E">
        <w:rPr>
          <w:rFonts w:ascii="Arial" w:hAnsi="Arial" w:cs="Arial"/>
          <w:bCs/>
          <w:sz w:val="20"/>
          <w:szCs w:val="20"/>
          <w:lang w:eastAsia="zh-TW"/>
        </w:rPr>
        <w:t>, 2021. These costs are not expected to be ongoing each year and/or period and are added back into normalized EBITDA calculations. The Company incurred one-time and non-recurring costs of $</w:t>
      </w:r>
      <w:r w:rsidR="005F1E5E" w:rsidRPr="005F1E5E">
        <w:rPr>
          <w:rFonts w:ascii="Arial" w:hAnsi="Arial" w:cs="Arial"/>
          <w:bCs/>
          <w:sz w:val="20"/>
          <w:szCs w:val="20"/>
          <w:lang w:eastAsia="zh-TW"/>
        </w:rPr>
        <w:t>698,561</w:t>
      </w:r>
      <w:r w:rsidRPr="005F1E5E">
        <w:rPr>
          <w:rFonts w:ascii="Arial" w:hAnsi="Arial" w:cs="Arial"/>
          <w:bCs/>
          <w:sz w:val="20"/>
          <w:szCs w:val="20"/>
          <w:lang w:eastAsia="zh-TW"/>
        </w:rPr>
        <w:t xml:space="preserve"> for the </w:t>
      </w:r>
      <w:r w:rsidR="005F1E5E" w:rsidRPr="005F1E5E">
        <w:rPr>
          <w:rFonts w:ascii="Arial" w:hAnsi="Arial" w:cs="Arial"/>
          <w:bCs/>
          <w:sz w:val="20"/>
          <w:szCs w:val="20"/>
          <w:lang w:eastAsia="zh-TW"/>
        </w:rPr>
        <w:t>year</w:t>
      </w:r>
      <w:r w:rsidRPr="005F1E5E">
        <w:rPr>
          <w:rFonts w:ascii="Arial" w:hAnsi="Arial" w:cs="Arial"/>
          <w:bCs/>
          <w:sz w:val="20"/>
          <w:szCs w:val="20"/>
          <w:lang w:eastAsia="zh-TW"/>
        </w:rPr>
        <w:t xml:space="preserve"> ended </w:t>
      </w:r>
      <w:r w:rsidR="005F1E5E" w:rsidRPr="005F1E5E">
        <w:rPr>
          <w:rFonts w:ascii="Arial" w:hAnsi="Arial" w:cs="Arial"/>
          <w:bCs/>
          <w:sz w:val="20"/>
          <w:szCs w:val="20"/>
          <w:lang w:eastAsia="zh-TW"/>
        </w:rPr>
        <w:t>December 31</w:t>
      </w:r>
      <w:r w:rsidRPr="005F1E5E">
        <w:rPr>
          <w:rFonts w:ascii="Arial" w:hAnsi="Arial" w:cs="Arial"/>
          <w:bCs/>
          <w:sz w:val="20"/>
          <w:szCs w:val="20"/>
          <w:lang w:eastAsia="zh-TW"/>
        </w:rPr>
        <w:t>, 2020.</w:t>
      </w:r>
    </w:p>
    <w:p w14:paraId="379D2F1E" w14:textId="77777777" w:rsidR="00666122" w:rsidRPr="005F1E5E" w:rsidRDefault="00666122" w:rsidP="00666122">
      <w:pPr>
        <w:rPr>
          <w:rFonts w:ascii="Arial" w:hAnsi="Arial" w:cs="Arial"/>
          <w:b/>
          <w:bCs/>
          <w:sz w:val="20"/>
          <w:szCs w:val="20"/>
        </w:rPr>
      </w:pPr>
    </w:p>
    <w:p w14:paraId="24255AA8" w14:textId="08AAFDDA" w:rsidR="00666122" w:rsidRPr="005F1E5E" w:rsidRDefault="00666122" w:rsidP="00666122">
      <w:pPr>
        <w:rPr>
          <w:rFonts w:ascii="Arial" w:hAnsi="Arial" w:cs="Arial"/>
          <w:b/>
          <w:bCs/>
          <w:sz w:val="20"/>
          <w:szCs w:val="20"/>
        </w:rPr>
      </w:pPr>
      <w:r w:rsidRPr="005F1E5E">
        <w:rPr>
          <w:rFonts w:ascii="Arial" w:hAnsi="Arial" w:cs="Arial"/>
          <w:b/>
          <w:bCs/>
          <w:sz w:val="20"/>
          <w:szCs w:val="20"/>
        </w:rPr>
        <w:t>Non-IFRS Financial Measures – EBITDA, Adjusted EBITDA, and Normalized EBITDA</w:t>
      </w:r>
      <w:r w:rsidR="00F97820">
        <w:rPr>
          <w:rStyle w:val="FootnoteReference"/>
          <w:rFonts w:ascii="Arial" w:hAnsi="Arial" w:cs="Arial"/>
          <w:b/>
          <w:bCs/>
          <w:sz w:val="20"/>
          <w:szCs w:val="20"/>
        </w:rPr>
        <w:footnoteReference w:id="2"/>
      </w:r>
    </w:p>
    <w:p w14:paraId="4813A0D1" w14:textId="77777777" w:rsidR="00666122" w:rsidRPr="005F1E5E" w:rsidRDefault="00666122" w:rsidP="00666122">
      <w:pPr>
        <w:rPr>
          <w:rFonts w:ascii="Arial" w:hAnsi="Arial" w:cs="Arial"/>
          <w:sz w:val="20"/>
          <w:szCs w:val="20"/>
        </w:rPr>
      </w:pPr>
    </w:p>
    <w:p w14:paraId="1511BE56" w14:textId="77777777" w:rsidR="00666122" w:rsidRPr="00A24310" w:rsidRDefault="00666122" w:rsidP="00666122">
      <w:pPr>
        <w:jc w:val="both"/>
        <w:rPr>
          <w:rFonts w:ascii="Arial" w:hAnsi="Arial" w:cs="Arial"/>
          <w:sz w:val="20"/>
          <w:szCs w:val="20"/>
        </w:rPr>
      </w:pPr>
    </w:p>
    <w:p w14:paraId="64BFA495" w14:textId="5AE58ED9" w:rsidR="00666122" w:rsidRPr="00A24310" w:rsidRDefault="00666122" w:rsidP="00666122">
      <w:pPr>
        <w:keepNext/>
        <w:jc w:val="both"/>
        <w:rPr>
          <w:rFonts w:ascii="Arial" w:hAnsi="Arial" w:cs="Arial"/>
          <w:bCs/>
          <w:sz w:val="20"/>
          <w:szCs w:val="20"/>
        </w:rPr>
      </w:pPr>
      <w:r w:rsidRPr="00A24310">
        <w:rPr>
          <w:rFonts w:ascii="Arial" w:hAnsi="Arial" w:cs="Arial"/>
          <w:bCs/>
          <w:sz w:val="20"/>
          <w:szCs w:val="20"/>
        </w:rPr>
        <w:t xml:space="preserve">EBITDA for the </w:t>
      </w:r>
      <w:r w:rsidR="009F41F1" w:rsidRPr="00A24310">
        <w:rPr>
          <w:rFonts w:ascii="Arial" w:hAnsi="Arial" w:cs="Arial"/>
          <w:bCs/>
          <w:sz w:val="20"/>
          <w:szCs w:val="20"/>
        </w:rPr>
        <w:t>year</w:t>
      </w:r>
      <w:r w:rsidRPr="00A24310">
        <w:rPr>
          <w:rFonts w:ascii="Arial" w:hAnsi="Arial" w:cs="Arial"/>
          <w:bCs/>
          <w:sz w:val="20"/>
          <w:szCs w:val="20"/>
        </w:rPr>
        <w:t xml:space="preserve"> ended </w:t>
      </w:r>
      <w:r w:rsidR="005604E8" w:rsidRPr="00A24310">
        <w:rPr>
          <w:rFonts w:ascii="Arial" w:hAnsi="Arial" w:cs="Arial"/>
          <w:bCs/>
          <w:sz w:val="20"/>
          <w:szCs w:val="20"/>
        </w:rPr>
        <w:t>December 31</w:t>
      </w:r>
      <w:r w:rsidRPr="00A24310">
        <w:rPr>
          <w:rFonts w:ascii="Arial" w:hAnsi="Arial" w:cs="Arial"/>
          <w:bCs/>
          <w:sz w:val="20"/>
          <w:szCs w:val="20"/>
        </w:rPr>
        <w:t xml:space="preserve">, </w:t>
      </w:r>
      <w:proofErr w:type="gramStart"/>
      <w:r w:rsidRPr="00A24310">
        <w:rPr>
          <w:rFonts w:ascii="Arial" w:hAnsi="Arial" w:cs="Arial"/>
          <w:bCs/>
          <w:sz w:val="20"/>
          <w:szCs w:val="20"/>
        </w:rPr>
        <w:t>2021</w:t>
      </w:r>
      <w:proofErr w:type="gramEnd"/>
      <w:r w:rsidRPr="00A24310">
        <w:rPr>
          <w:rFonts w:ascii="Arial" w:hAnsi="Arial" w:cs="Arial"/>
          <w:sz w:val="20"/>
          <w:szCs w:val="20"/>
        </w:rPr>
        <w:t xml:space="preserve"> was $</w:t>
      </w:r>
      <w:r w:rsidR="00D60C34" w:rsidRPr="00A24310">
        <w:rPr>
          <w:rFonts w:ascii="Arial" w:hAnsi="Arial" w:cs="Arial"/>
          <w:sz w:val="20"/>
          <w:szCs w:val="20"/>
        </w:rPr>
        <w:t>12,336,327</w:t>
      </w:r>
      <w:r w:rsidRPr="00A24310">
        <w:rPr>
          <w:rFonts w:ascii="Arial" w:hAnsi="Arial" w:cs="Arial"/>
          <w:sz w:val="20"/>
          <w:szCs w:val="20"/>
        </w:rPr>
        <w:t xml:space="preserve">, with an EBITDA margin of </w:t>
      </w:r>
      <w:r w:rsidR="00D60C34" w:rsidRPr="00A24310">
        <w:rPr>
          <w:rFonts w:ascii="Arial" w:hAnsi="Arial" w:cs="Arial"/>
          <w:sz w:val="20"/>
          <w:szCs w:val="20"/>
        </w:rPr>
        <w:t>22%</w:t>
      </w:r>
      <w:r w:rsidRPr="00A24310">
        <w:rPr>
          <w:rFonts w:ascii="Arial" w:hAnsi="Arial" w:cs="Arial"/>
          <w:sz w:val="20"/>
          <w:szCs w:val="20"/>
        </w:rPr>
        <w:t xml:space="preserve">. EBITDA for the </w:t>
      </w:r>
      <w:r w:rsidR="00D60C34" w:rsidRPr="00A24310">
        <w:rPr>
          <w:rFonts w:ascii="Arial" w:hAnsi="Arial" w:cs="Arial"/>
          <w:sz w:val="20"/>
          <w:szCs w:val="20"/>
        </w:rPr>
        <w:t xml:space="preserve">year </w:t>
      </w:r>
      <w:r w:rsidRPr="00A24310">
        <w:rPr>
          <w:rFonts w:ascii="Arial" w:hAnsi="Arial" w:cs="Arial"/>
          <w:sz w:val="20"/>
          <w:szCs w:val="20"/>
        </w:rPr>
        <w:t xml:space="preserve">ended </w:t>
      </w:r>
      <w:r w:rsidR="00D60C34" w:rsidRPr="00A24310">
        <w:rPr>
          <w:rFonts w:ascii="Arial" w:hAnsi="Arial" w:cs="Arial"/>
          <w:sz w:val="20"/>
          <w:szCs w:val="20"/>
        </w:rPr>
        <w:t>December 31</w:t>
      </w:r>
      <w:r w:rsidRPr="00A24310">
        <w:rPr>
          <w:rFonts w:ascii="Arial" w:hAnsi="Arial" w:cs="Arial"/>
          <w:sz w:val="20"/>
          <w:szCs w:val="20"/>
        </w:rPr>
        <w:t xml:space="preserve">, </w:t>
      </w:r>
      <w:proofErr w:type="gramStart"/>
      <w:r w:rsidRPr="00A24310">
        <w:rPr>
          <w:rFonts w:ascii="Arial" w:hAnsi="Arial" w:cs="Arial"/>
          <w:sz w:val="20"/>
          <w:szCs w:val="20"/>
        </w:rPr>
        <w:t>2020</w:t>
      </w:r>
      <w:proofErr w:type="gramEnd"/>
      <w:r w:rsidRPr="00A24310">
        <w:rPr>
          <w:rFonts w:ascii="Arial" w:hAnsi="Arial" w:cs="Arial"/>
          <w:sz w:val="20"/>
          <w:szCs w:val="20"/>
        </w:rPr>
        <w:t xml:space="preserve"> was $</w:t>
      </w:r>
      <w:r w:rsidR="00D60C34" w:rsidRPr="00A24310">
        <w:rPr>
          <w:rFonts w:ascii="Arial" w:hAnsi="Arial" w:cs="Arial"/>
          <w:sz w:val="20"/>
          <w:szCs w:val="20"/>
        </w:rPr>
        <w:t>3,722,710</w:t>
      </w:r>
      <w:r w:rsidRPr="00A24310">
        <w:rPr>
          <w:rFonts w:ascii="Arial" w:hAnsi="Arial" w:cs="Arial"/>
          <w:sz w:val="20"/>
          <w:szCs w:val="20"/>
        </w:rPr>
        <w:t xml:space="preserve">, with an EBITDA margin of </w:t>
      </w:r>
      <w:r w:rsidR="00D60C34" w:rsidRPr="00A24310">
        <w:rPr>
          <w:rFonts w:ascii="Arial" w:hAnsi="Arial" w:cs="Arial"/>
          <w:sz w:val="20"/>
          <w:szCs w:val="20"/>
        </w:rPr>
        <w:t>10%</w:t>
      </w:r>
      <w:r w:rsidRPr="00A24310">
        <w:rPr>
          <w:rFonts w:ascii="Arial" w:hAnsi="Arial" w:cs="Arial"/>
          <w:sz w:val="20"/>
          <w:szCs w:val="20"/>
        </w:rPr>
        <w:t xml:space="preserve">. EBITDA for the </w:t>
      </w:r>
      <w:r w:rsidR="00D60C34" w:rsidRPr="00A24310">
        <w:rPr>
          <w:rFonts w:ascii="Arial" w:hAnsi="Arial" w:cs="Arial"/>
          <w:sz w:val="20"/>
          <w:szCs w:val="20"/>
        </w:rPr>
        <w:t>year</w:t>
      </w:r>
      <w:r w:rsidRPr="00A24310">
        <w:rPr>
          <w:rFonts w:ascii="Arial" w:hAnsi="Arial" w:cs="Arial"/>
          <w:sz w:val="20"/>
          <w:szCs w:val="20"/>
        </w:rPr>
        <w:t xml:space="preserve"> ended </w:t>
      </w:r>
      <w:r w:rsidR="00D60C34" w:rsidRPr="00A24310">
        <w:rPr>
          <w:rFonts w:ascii="Arial" w:hAnsi="Arial" w:cs="Arial"/>
          <w:sz w:val="20"/>
          <w:szCs w:val="20"/>
        </w:rPr>
        <w:t>December 31</w:t>
      </w:r>
      <w:r w:rsidRPr="00A24310">
        <w:rPr>
          <w:rFonts w:ascii="Arial" w:hAnsi="Arial" w:cs="Arial"/>
          <w:sz w:val="20"/>
          <w:szCs w:val="20"/>
        </w:rPr>
        <w:t xml:space="preserve">, </w:t>
      </w:r>
      <w:proofErr w:type="gramStart"/>
      <w:r w:rsidRPr="00A24310">
        <w:rPr>
          <w:rFonts w:ascii="Arial" w:hAnsi="Arial" w:cs="Arial"/>
          <w:sz w:val="20"/>
          <w:szCs w:val="20"/>
        </w:rPr>
        <w:t>2021</w:t>
      </w:r>
      <w:proofErr w:type="gramEnd"/>
      <w:r w:rsidRPr="00A24310">
        <w:rPr>
          <w:rFonts w:ascii="Arial" w:hAnsi="Arial" w:cs="Arial"/>
          <w:sz w:val="20"/>
          <w:szCs w:val="20"/>
        </w:rPr>
        <w:t xml:space="preserve"> increased by </w:t>
      </w:r>
      <w:r w:rsidR="00A24310" w:rsidRPr="00A24310">
        <w:rPr>
          <w:rFonts w:ascii="Arial" w:hAnsi="Arial" w:cs="Arial"/>
          <w:sz w:val="20"/>
          <w:szCs w:val="20"/>
        </w:rPr>
        <w:t xml:space="preserve">231% </w:t>
      </w:r>
      <w:r w:rsidRPr="00A24310">
        <w:rPr>
          <w:rFonts w:ascii="Arial" w:hAnsi="Arial" w:cs="Arial"/>
          <w:sz w:val="20"/>
          <w:szCs w:val="20"/>
        </w:rPr>
        <w:t xml:space="preserve">compared to the </w:t>
      </w:r>
      <w:r w:rsidR="00A24310" w:rsidRPr="00A24310">
        <w:rPr>
          <w:rFonts w:ascii="Arial" w:hAnsi="Arial" w:cs="Arial"/>
          <w:sz w:val="20"/>
          <w:szCs w:val="20"/>
        </w:rPr>
        <w:t>year</w:t>
      </w:r>
      <w:r w:rsidRPr="00A24310">
        <w:rPr>
          <w:rFonts w:ascii="Arial" w:hAnsi="Arial" w:cs="Arial"/>
          <w:sz w:val="20"/>
          <w:szCs w:val="20"/>
        </w:rPr>
        <w:t xml:space="preserve"> ended </w:t>
      </w:r>
      <w:r w:rsidR="00A24310" w:rsidRPr="00A24310">
        <w:rPr>
          <w:rFonts w:ascii="Arial" w:hAnsi="Arial" w:cs="Arial"/>
          <w:sz w:val="20"/>
          <w:szCs w:val="20"/>
        </w:rPr>
        <w:t>December 31</w:t>
      </w:r>
      <w:r w:rsidRPr="00A24310">
        <w:rPr>
          <w:rFonts w:ascii="Arial" w:hAnsi="Arial" w:cs="Arial"/>
          <w:sz w:val="20"/>
          <w:szCs w:val="20"/>
        </w:rPr>
        <w:t>, 2020 d</w:t>
      </w:r>
      <w:r w:rsidRPr="00A24310">
        <w:rPr>
          <w:rFonts w:ascii="Arial" w:hAnsi="Arial" w:cs="Arial"/>
          <w:bCs/>
          <w:sz w:val="20"/>
          <w:szCs w:val="20"/>
        </w:rPr>
        <w:t>ue to increased net income for the period resulting from increased sales, improved gross margins, and reduced operating expenses.</w:t>
      </w:r>
    </w:p>
    <w:p w14:paraId="2719E2F0" w14:textId="77777777" w:rsidR="00666122" w:rsidRPr="00A24310" w:rsidRDefault="00666122" w:rsidP="00666122">
      <w:pPr>
        <w:jc w:val="both"/>
        <w:rPr>
          <w:rFonts w:ascii="Arial" w:hAnsi="Arial" w:cs="Arial"/>
          <w:sz w:val="20"/>
          <w:szCs w:val="20"/>
        </w:rPr>
      </w:pPr>
    </w:p>
    <w:p w14:paraId="2502B2DC" w14:textId="2D9EA7B6" w:rsidR="00EB10D4" w:rsidRPr="00A24310" w:rsidRDefault="00666122" w:rsidP="00FB7769">
      <w:pPr>
        <w:jc w:val="both"/>
        <w:rPr>
          <w:rFonts w:ascii="Arial" w:hAnsi="Arial" w:cs="Arial"/>
          <w:sz w:val="20"/>
          <w:szCs w:val="20"/>
        </w:rPr>
      </w:pPr>
      <w:r w:rsidRPr="00A24310">
        <w:rPr>
          <w:rFonts w:ascii="Arial" w:hAnsi="Arial" w:cs="Arial"/>
          <w:sz w:val="20"/>
          <w:szCs w:val="20"/>
        </w:rPr>
        <w:t xml:space="preserve">Adjusted EBITDA margin for the </w:t>
      </w:r>
      <w:r w:rsidR="00A24310" w:rsidRPr="00A24310">
        <w:rPr>
          <w:rFonts w:ascii="Arial" w:hAnsi="Arial" w:cs="Arial"/>
          <w:sz w:val="20"/>
          <w:szCs w:val="20"/>
        </w:rPr>
        <w:t>year</w:t>
      </w:r>
      <w:r w:rsidRPr="00A24310">
        <w:rPr>
          <w:rFonts w:ascii="Arial" w:hAnsi="Arial" w:cs="Arial"/>
          <w:sz w:val="20"/>
          <w:szCs w:val="20"/>
        </w:rPr>
        <w:t xml:space="preserve"> ended </w:t>
      </w:r>
      <w:r w:rsidR="00A24310" w:rsidRPr="00A24310">
        <w:rPr>
          <w:rFonts w:ascii="Arial" w:hAnsi="Arial" w:cs="Arial"/>
          <w:sz w:val="20"/>
          <w:szCs w:val="20"/>
        </w:rPr>
        <w:t>December 31</w:t>
      </w:r>
      <w:r w:rsidRPr="00A24310">
        <w:rPr>
          <w:rFonts w:ascii="Arial" w:hAnsi="Arial" w:cs="Arial"/>
          <w:sz w:val="20"/>
          <w:szCs w:val="20"/>
        </w:rPr>
        <w:t xml:space="preserve">, </w:t>
      </w:r>
      <w:proofErr w:type="gramStart"/>
      <w:r w:rsidRPr="00A24310">
        <w:rPr>
          <w:rFonts w:ascii="Arial" w:hAnsi="Arial" w:cs="Arial"/>
          <w:sz w:val="20"/>
          <w:szCs w:val="20"/>
        </w:rPr>
        <w:t>2021</w:t>
      </w:r>
      <w:proofErr w:type="gramEnd"/>
      <w:r w:rsidRPr="00A24310">
        <w:rPr>
          <w:rFonts w:ascii="Arial" w:hAnsi="Arial" w:cs="Arial"/>
          <w:sz w:val="20"/>
          <w:szCs w:val="20"/>
        </w:rPr>
        <w:t xml:space="preserve"> was </w:t>
      </w:r>
      <w:r w:rsidR="00A24310" w:rsidRPr="00A24310">
        <w:rPr>
          <w:rFonts w:ascii="Arial" w:hAnsi="Arial" w:cs="Arial"/>
          <w:sz w:val="20"/>
          <w:szCs w:val="20"/>
        </w:rPr>
        <w:t>23%</w:t>
      </w:r>
      <w:r w:rsidRPr="00A24310">
        <w:rPr>
          <w:rFonts w:ascii="Arial" w:hAnsi="Arial" w:cs="Arial"/>
          <w:sz w:val="20"/>
          <w:szCs w:val="20"/>
        </w:rPr>
        <w:t xml:space="preserve">, which is an increase from </w:t>
      </w:r>
      <w:r w:rsidR="00A24310" w:rsidRPr="00A24310">
        <w:rPr>
          <w:rFonts w:ascii="Arial" w:hAnsi="Arial" w:cs="Arial"/>
          <w:sz w:val="20"/>
          <w:szCs w:val="20"/>
        </w:rPr>
        <w:t>9</w:t>
      </w:r>
      <w:r w:rsidRPr="00A24310">
        <w:rPr>
          <w:rFonts w:ascii="Arial" w:hAnsi="Arial" w:cs="Arial"/>
          <w:sz w:val="20"/>
          <w:szCs w:val="20"/>
        </w:rPr>
        <w:t xml:space="preserve">% for the </w:t>
      </w:r>
      <w:r w:rsidR="00A24310" w:rsidRPr="00A24310">
        <w:rPr>
          <w:rFonts w:ascii="Arial" w:hAnsi="Arial" w:cs="Arial"/>
          <w:sz w:val="20"/>
          <w:szCs w:val="20"/>
        </w:rPr>
        <w:t>year</w:t>
      </w:r>
      <w:r w:rsidRPr="00A24310">
        <w:rPr>
          <w:rFonts w:ascii="Arial" w:hAnsi="Arial" w:cs="Arial"/>
          <w:sz w:val="20"/>
          <w:szCs w:val="20"/>
        </w:rPr>
        <w:t xml:space="preserve"> ended </w:t>
      </w:r>
      <w:r w:rsidR="00A24310" w:rsidRPr="00A24310">
        <w:rPr>
          <w:rFonts w:ascii="Arial" w:hAnsi="Arial" w:cs="Arial"/>
          <w:sz w:val="20"/>
          <w:szCs w:val="20"/>
        </w:rPr>
        <w:t>December 31</w:t>
      </w:r>
      <w:r w:rsidRPr="00A24310">
        <w:rPr>
          <w:rFonts w:ascii="Arial" w:hAnsi="Arial" w:cs="Arial"/>
          <w:sz w:val="20"/>
          <w:szCs w:val="20"/>
        </w:rPr>
        <w:t xml:space="preserve">, 2020. Normalized EBITDA margin also increased </w:t>
      </w:r>
      <w:r w:rsidR="00A24310" w:rsidRPr="00A24310">
        <w:rPr>
          <w:rFonts w:ascii="Arial" w:hAnsi="Arial" w:cs="Arial"/>
          <w:sz w:val="20"/>
          <w:szCs w:val="20"/>
        </w:rPr>
        <w:t>to 24</w:t>
      </w:r>
      <w:r w:rsidRPr="00A24310">
        <w:rPr>
          <w:rFonts w:ascii="Arial" w:hAnsi="Arial" w:cs="Arial"/>
          <w:sz w:val="20"/>
          <w:szCs w:val="20"/>
        </w:rPr>
        <w:t xml:space="preserve">% for the </w:t>
      </w:r>
      <w:r w:rsidR="00A24310" w:rsidRPr="00A24310">
        <w:rPr>
          <w:rFonts w:ascii="Arial" w:hAnsi="Arial" w:cs="Arial"/>
          <w:sz w:val="20"/>
          <w:szCs w:val="20"/>
        </w:rPr>
        <w:t xml:space="preserve">year </w:t>
      </w:r>
      <w:r w:rsidRPr="00A24310">
        <w:rPr>
          <w:rFonts w:ascii="Arial" w:hAnsi="Arial" w:cs="Arial"/>
          <w:sz w:val="20"/>
          <w:szCs w:val="20"/>
        </w:rPr>
        <w:t xml:space="preserve">ended </w:t>
      </w:r>
      <w:r w:rsidR="00A24310" w:rsidRPr="00A24310">
        <w:rPr>
          <w:rFonts w:ascii="Arial" w:hAnsi="Arial" w:cs="Arial"/>
          <w:sz w:val="20"/>
          <w:szCs w:val="20"/>
        </w:rPr>
        <w:t>December 31</w:t>
      </w:r>
      <w:r w:rsidRPr="00A24310">
        <w:rPr>
          <w:rFonts w:ascii="Arial" w:hAnsi="Arial" w:cs="Arial"/>
          <w:sz w:val="20"/>
          <w:szCs w:val="20"/>
        </w:rPr>
        <w:t xml:space="preserve">, </w:t>
      </w:r>
      <w:proofErr w:type="gramStart"/>
      <w:r w:rsidRPr="00A24310">
        <w:rPr>
          <w:rFonts w:ascii="Arial" w:hAnsi="Arial" w:cs="Arial"/>
          <w:sz w:val="20"/>
          <w:szCs w:val="20"/>
        </w:rPr>
        <w:t>2021</w:t>
      </w:r>
      <w:proofErr w:type="gramEnd"/>
      <w:r w:rsidRPr="00A24310">
        <w:rPr>
          <w:rFonts w:ascii="Arial" w:hAnsi="Arial" w:cs="Arial"/>
          <w:sz w:val="20"/>
          <w:szCs w:val="20"/>
        </w:rPr>
        <w:t xml:space="preserve"> from </w:t>
      </w:r>
      <w:r w:rsidR="00A24310" w:rsidRPr="00A24310">
        <w:rPr>
          <w:rFonts w:ascii="Arial" w:hAnsi="Arial" w:cs="Arial"/>
          <w:sz w:val="20"/>
          <w:szCs w:val="20"/>
        </w:rPr>
        <w:t>11</w:t>
      </w:r>
      <w:r w:rsidRPr="00A24310">
        <w:rPr>
          <w:rFonts w:ascii="Arial" w:hAnsi="Arial" w:cs="Arial"/>
          <w:sz w:val="20"/>
          <w:szCs w:val="20"/>
        </w:rPr>
        <w:t xml:space="preserve">% for the </w:t>
      </w:r>
      <w:r w:rsidR="00A24310" w:rsidRPr="00A24310">
        <w:rPr>
          <w:rFonts w:ascii="Arial" w:hAnsi="Arial" w:cs="Arial"/>
          <w:sz w:val="20"/>
          <w:szCs w:val="20"/>
        </w:rPr>
        <w:t>year</w:t>
      </w:r>
      <w:r w:rsidRPr="00A24310">
        <w:rPr>
          <w:rFonts w:ascii="Arial" w:hAnsi="Arial" w:cs="Arial"/>
          <w:sz w:val="20"/>
          <w:szCs w:val="20"/>
        </w:rPr>
        <w:t xml:space="preserve"> ended </w:t>
      </w:r>
      <w:r w:rsidR="00A24310" w:rsidRPr="00A24310">
        <w:rPr>
          <w:rFonts w:ascii="Arial" w:hAnsi="Arial" w:cs="Arial"/>
          <w:sz w:val="20"/>
          <w:szCs w:val="20"/>
        </w:rPr>
        <w:t>December 31</w:t>
      </w:r>
      <w:r w:rsidRPr="00A24310">
        <w:rPr>
          <w:rFonts w:ascii="Arial" w:hAnsi="Arial" w:cs="Arial"/>
          <w:sz w:val="20"/>
          <w:szCs w:val="20"/>
        </w:rPr>
        <w:t xml:space="preserve">, 2020. These increases were mainly due to increased sales, improved gross margins, and reduced operating costs. </w:t>
      </w:r>
    </w:p>
    <w:p w14:paraId="27AF3F22" w14:textId="77777777" w:rsidR="00DB6199" w:rsidRPr="00271B27" w:rsidRDefault="00DB6199" w:rsidP="001B13B8">
      <w:pPr>
        <w:rPr>
          <w:rFonts w:ascii="Arial" w:hAnsi="Arial" w:cs="Arial"/>
          <w:sz w:val="20"/>
          <w:szCs w:val="20"/>
          <w:highlight w:val="yellow"/>
        </w:rPr>
      </w:pPr>
    </w:p>
    <w:p w14:paraId="3A4A6EAB" w14:textId="0AD89271" w:rsidR="00547089" w:rsidRPr="00271B27" w:rsidRDefault="009761C1" w:rsidP="005203C7">
      <w:pPr>
        <w:jc w:val="center"/>
        <w:rPr>
          <w:rFonts w:ascii="Arial" w:hAnsi="Arial" w:cs="Arial"/>
          <w:sz w:val="20"/>
          <w:szCs w:val="20"/>
          <w:highlight w:val="yellow"/>
        </w:rPr>
      </w:pPr>
      <w:r w:rsidRPr="009761C1">
        <w:rPr>
          <w:noProof/>
        </w:rPr>
        <w:lastRenderedPageBreak/>
        <w:drawing>
          <wp:inline distT="0" distB="0" distL="0" distR="0" wp14:anchorId="5E307418" wp14:editId="2BAC44CF">
            <wp:extent cx="4404360" cy="39090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04360" cy="3909060"/>
                    </a:xfrm>
                    <a:prstGeom prst="rect">
                      <a:avLst/>
                    </a:prstGeom>
                    <a:noFill/>
                    <a:ln>
                      <a:noFill/>
                    </a:ln>
                  </pic:spPr>
                </pic:pic>
              </a:graphicData>
            </a:graphic>
          </wp:inline>
        </w:drawing>
      </w:r>
    </w:p>
    <w:p w14:paraId="375EE55D" w14:textId="77777777" w:rsidR="00DB6199" w:rsidRPr="00271B27" w:rsidRDefault="00DB6199" w:rsidP="00ED61F9">
      <w:pPr>
        <w:jc w:val="center"/>
        <w:rPr>
          <w:rFonts w:ascii="Arial" w:hAnsi="Arial" w:cs="Arial"/>
          <w:sz w:val="20"/>
          <w:szCs w:val="20"/>
          <w:highlight w:val="yellow"/>
        </w:rPr>
      </w:pPr>
    </w:p>
    <w:p w14:paraId="33F74DCA" w14:textId="5E205871" w:rsidR="00387BCA" w:rsidRPr="00A24310" w:rsidRDefault="00387BCA" w:rsidP="00387BCA">
      <w:pPr>
        <w:keepNext/>
        <w:adjustRightInd w:val="0"/>
        <w:jc w:val="both"/>
        <w:rPr>
          <w:rFonts w:ascii="Arial" w:hAnsi="Arial" w:cs="Arial"/>
          <w:b/>
          <w:bCs/>
          <w:sz w:val="20"/>
          <w:szCs w:val="20"/>
        </w:rPr>
      </w:pPr>
      <w:r w:rsidRPr="00A24310">
        <w:rPr>
          <w:rFonts w:ascii="Arial" w:hAnsi="Arial" w:cs="Arial"/>
          <w:b/>
          <w:bCs/>
          <w:noProof/>
          <w:sz w:val="20"/>
          <w:szCs w:val="20"/>
        </w:rPr>
        <mc:AlternateContent>
          <mc:Choice Requires="wps">
            <w:drawing>
              <wp:anchor distT="0" distB="0" distL="114300" distR="114300" simplePos="0" relativeHeight="251671040" behindDoc="0" locked="0" layoutInCell="1" allowOverlap="1" wp14:anchorId="2FFA26F2" wp14:editId="2AB4EB61">
                <wp:simplePos x="0" y="0"/>
                <wp:positionH relativeFrom="page">
                  <wp:posOffset>823595</wp:posOffset>
                </wp:positionH>
                <wp:positionV relativeFrom="paragraph">
                  <wp:posOffset>201930</wp:posOffset>
                </wp:positionV>
                <wp:extent cx="6219825" cy="0"/>
                <wp:effectExtent l="13970" t="13970" r="5080" b="5080"/>
                <wp:wrapNone/>
                <wp:docPr id="19"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D4259" id="Line 538"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85pt,15.9pt" to="554.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" strokeweight=".48pt">
                <w10:wrap anchorx="page"/>
              </v:line>
            </w:pict>
          </mc:Fallback>
        </mc:AlternateContent>
      </w:r>
      <w:r w:rsidRPr="00A24310">
        <w:rPr>
          <w:rFonts w:ascii="Arial" w:hAnsi="Arial" w:cs="Arial"/>
          <w:b/>
          <w:bCs/>
          <w:noProof/>
          <w:sz w:val="20"/>
          <w:szCs w:val="20"/>
        </w:rPr>
        <w:t>RELATED PARTY TRANSACTIONS</w:t>
      </w:r>
    </w:p>
    <w:p w14:paraId="39E68852" w14:textId="77777777" w:rsidR="0075420D" w:rsidRPr="00A24310" w:rsidRDefault="0075420D" w:rsidP="0039371D">
      <w:pPr>
        <w:pStyle w:val="Indent1"/>
        <w:spacing w:after="0" w:line="240" w:lineRule="auto"/>
        <w:ind w:left="0"/>
        <w:rPr>
          <w:rFonts w:ascii="Arial" w:hAnsi="Arial" w:cs="Arial"/>
          <w:sz w:val="20"/>
          <w:szCs w:val="20"/>
        </w:rPr>
      </w:pPr>
      <w:bookmarkStart w:id="13" w:name="_Hlk487449181"/>
    </w:p>
    <w:p w14:paraId="5C088808" w14:textId="10350B3B" w:rsidR="0075420D" w:rsidRPr="00A24310" w:rsidRDefault="0075420D" w:rsidP="0075420D">
      <w:pPr>
        <w:jc w:val="both"/>
        <w:rPr>
          <w:rFonts w:ascii="Arial" w:hAnsi="Arial" w:cs="Arial"/>
          <w:sz w:val="20"/>
          <w:szCs w:val="20"/>
          <w:lang w:val="en-GB"/>
        </w:rPr>
      </w:pPr>
      <w:r w:rsidRPr="00A24310">
        <w:rPr>
          <w:rFonts w:ascii="Arial" w:hAnsi="Arial" w:cs="Arial"/>
          <w:sz w:val="20"/>
          <w:szCs w:val="20"/>
        </w:rPr>
        <w:t xml:space="preserve">The Company’s related parties consist of the Company’s directors and officers, and any companies associated with them. </w:t>
      </w:r>
      <w:r w:rsidRPr="00A24310">
        <w:rPr>
          <w:rFonts w:ascii="Arial" w:hAnsi="Arial" w:cs="Arial"/>
          <w:sz w:val="20"/>
          <w:szCs w:val="20"/>
          <w:lang w:val="en-GB"/>
        </w:rPr>
        <w:t>Key management personnel include directors and executive officers of the Company. Other than the amounts disclosed above, there was no other compensation paid or payable to key management personnel for employee services for the reported periods.</w:t>
      </w:r>
    </w:p>
    <w:p w14:paraId="73CAC9F9" w14:textId="77777777" w:rsidR="00EF6437" w:rsidRPr="00A24310" w:rsidRDefault="00EF6437" w:rsidP="0075420D">
      <w:pPr>
        <w:jc w:val="both"/>
        <w:rPr>
          <w:rFonts w:ascii="Arial" w:hAnsi="Arial" w:cs="Arial"/>
          <w:sz w:val="20"/>
          <w:szCs w:val="20"/>
          <w:lang w:val="en-GB"/>
        </w:rPr>
      </w:pPr>
    </w:p>
    <w:p w14:paraId="79A192F0" w14:textId="4D00ACB9" w:rsidR="00666122" w:rsidRPr="00D20F46" w:rsidRDefault="00666122" w:rsidP="007B0081">
      <w:pPr>
        <w:jc w:val="both"/>
        <w:outlineLvl w:val="0"/>
        <w:rPr>
          <w:rFonts w:ascii="Arial" w:hAnsi="Arial" w:cs="Arial"/>
          <w:sz w:val="20"/>
          <w:szCs w:val="20"/>
        </w:rPr>
      </w:pPr>
      <w:bookmarkStart w:id="14" w:name="_Hlk496421594"/>
      <w:bookmarkEnd w:id="13"/>
      <w:r w:rsidRPr="00A24310">
        <w:rPr>
          <w:rFonts w:ascii="Arial" w:hAnsi="Arial" w:cs="Arial"/>
          <w:sz w:val="20"/>
          <w:szCs w:val="20"/>
        </w:rPr>
        <w:t xml:space="preserve">The Company incurred the following charges as part of the Company’s consolidated statement of income and comprehensive income during the </w:t>
      </w:r>
      <w:bookmarkEnd w:id="14"/>
      <w:r w:rsidR="00A24310" w:rsidRPr="00A24310">
        <w:rPr>
          <w:rFonts w:ascii="Arial" w:hAnsi="Arial" w:cs="Arial"/>
          <w:sz w:val="20"/>
          <w:szCs w:val="20"/>
        </w:rPr>
        <w:t>year</w:t>
      </w:r>
      <w:r w:rsidRPr="00A24310">
        <w:rPr>
          <w:rFonts w:ascii="Arial" w:hAnsi="Arial" w:cs="Arial"/>
          <w:sz w:val="20"/>
          <w:szCs w:val="20"/>
        </w:rPr>
        <w:t xml:space="preserve"> </w:t>
      </w:r>
      <w:r w:rsidRPr="00D20F46">
        <w:rPr>
          <w:rFonts w:ascii="Arial" w:hAnsi="Arial" w:cs="Arial"/>
          <w:sz w:val="20"/>
          <w:szCs w:val="20"/>
        </w:rPr>
        <w:t xml:space="preserve">ended </w:t>
      </w:r>
      <w:r w:rsidR="00A24310" w:rsidRPr="00D20F46">
        <w:rPr>
          <w:rFonts w:ascii="Arial" w:hAnsi="Arial" w:cs="Arial"/>
          <w:sz w:val="20"/>
          <w:szCs w:val="20"/>
        </w:rPr>
        <w:t>December 31</w:t>
      </w:r>
      <w:r w:rsidRPr="00D20F46">
        <w:rPr>
          <w:rFonts w:ascii="Arial" w:hAnsi="Arial" w:cs="Arial"/>
          <w:sz w:val="20"/>
          <w:szCs w:val="20"/>
        </w:rPr>
        <w:t xml:space="preserve">, </w:t>
      </w:r>
      <w:proofErr w:type="gramStart"/>
      <w:r w:rsidRPr="00D20F46">
        <w:rPr>
          <w:rFonts w:ascii="Arial" w:hAnsi="Arial" w:cs="Arial"/>
          <w:sz w:val="20"/>
          <w:szCs w:val="20"/>
        </w:rPr>
        <w:t>2021</w:t>
      </w:r>
      <w:proofErr w:type="gramEnd"/>
      <w:r w:rsidRPr="00D20F46">
        <w:rPr>
          <w:rFonts w:ascii="Arial" w:hAnsi="Arial" w:cs="Arial"/>
          <w:sz w:val="20"/>
          <w:szCs w:val="20"/>
        </w:rPr>
        <w:t xml:space="preserve"> and 2020.</w:t>
      </w:r>
      <w:bookmarkStart w:id="15" w:name="_Hlk77792748"/>
    </w:p>
    <w:p w14:paraId="0A3B086B" w14:textId="77777777" w:rsidR="001E3C51" w:rsidRPr="001E3C51" w:rsidRDefault="001E3C51" w:rsidP="001E3C51">
      <w:pPr>
        <w:widowControl/>
        <w:autoSpaceDE/>
        <w:autoSpaceDN/>
        <w:jc w:val="both"/>
        <w:outlineLvl w:val="0"/>
        <w:rPr>
          <w:rFonts w:ascii="Arial" w:eastAsia="Times New Roman" w:hAnsi="Arial" w:cs="Arial"/>
          <w:sz w:val="20"/>
        </w:rPr>
      </w:pPr>
      <w:bookmarkStart w:id="16" w:name="_Hlk66813996"/>
      <w:bookmarkStart w:id="17" w:name="_Hlk66814016"/>
      <w:bookmarkEnd w:id="15"/>
    </w:p>
    <w:tbl>
      <w:tblPr>
        <w:tblW w:w="5000" w:type="pct"/>
        <w:jc w:val="right"/>
        <w:tblLayout w:type="fixed"/>
        <w:tblLook w:val="04A0" w:firstRow="1" w:lastRow="0" w:firstColumn="1" w:lastColumn="0" w:noHBand="0" w:noVBand="1"/>
      </w:tblPr>
      <w:tblGrid>
        <w:gridCol w:w="3543"/>
        <w:gridCol w:w="965"/>
        <w:gridCol w:w="421"/>
        <w:gridCol w:w="957"/>
        <w:gridCol w:w="510"/>
        <w:gridCol w:w="1148"/>
        <w:gridCol w:w="375"/>
        <w:gridCol w:w="1556"/>
      </w:tblGrid>
      <w:tr w:rsidR="001E3C51" w:rsidRPr="001E3C51" w14:paraId="25F47DCC" w14:textId="77777777" w:rsidTr="00A5780C">
        <w:trPr>
          <w:trHeight w:val="205"/>
          <w:jc w:val="right"/>
        </w:trPr>
        <w:tc>
          <w:tcPr>
            <w:tcW w:w="1870" w:type="pct"/>
            <w:tcBorders>
              <w:top w:val="single" w:sz="4" w:space="0" w:color="auto"/>
              <w:left w:val="nil"/>
              <w:bottom w:val="single" w:sz="4" w:space="0" w:color="auto"/>
              <w:right w:val="nil"/>
            </w:tcBorders>
            <w:shd w:val="clear" w:color="auto" w:fill="auto"/>
            <w:noWrap/>
            <w:vAlign w:val="bottom"/>
          </w:tcPr>
          <w:p w14:paraId="15BE9404" w14:textId="77777777" w:rsidR="001E3C51" w:rsidRPr="001E3C51" w:rsidRDefault="001E3C51" w:rsidP="001E3C51">
            <w:pPr>
              <w:widowControl/>
              <w:autoSpaceDE/>
              <w:autoSpaceDN/>
              <w:rPr>
                <w:rFonts w:ascii="Arial" w:eastAsia="Times New Roman" w:hAnsi="Arial" w:cs="Arial"/>
                <w:b/>
                <w:sz w:val="20"/>
                <w:szCs w:val="20"/>
              </w:rPr>
            </w:pPr>
          </w:p>
        </w:tc>
        <w:tc>
          <w:tcPr>
            <w:tcW w:w="731" w:type="pct"/>
            <w:gridSpan w:val="2"/>
            <w:tcBorders>
              <w:top w:val="single" w:sz="4" w:space="0" w:color="auto"/>
              <w:left w:val="nil"/>
              <w:bottom w:val="single" w:sz="4" w:space="0" w:color="auto"/>
              <w:right w:val="nil"/>
            </w:tcBorders>
          </w:tcPr>
          <w:p w14:paraId="4B411832" w14:textId="77777777" w:rsidR="001E3C51" w:rsidRPr="001E3C51" w:rsidRDefault="001E3C51" w:rsidP="001E3C51">
            <w:pPr>
              <w:widowControl/>
              <w:autoSpaceDE/>
              <w:autoSpaceDN/>
              <w:jc w:val="right"/>
              <w:rPr>
                <w:rFonts w:ascii="Arial" w:eastAsia="Times New Roman" w:hAnsi="Arial" w:cs="Arial"/>
                <w:b/>
                <w:bCs/>
                <w:sz w:val="20"/>
                <w:szCs w:val="20"/>
              </w:rPr>
            </w:pPr>
          </w:p>
        </w:tc>
        <w:tc>
          <w:tcPr>
            <w:tcW w:w="774" w:type="pct"/>
            <w:gridSpan w:val="2"/>
            <w:tcBorders>
              <w:top w:val="single" w:sz="4" w:space="0" w:color="auto"/>
              <w:left w:val="nil"/>
              <w:bottom w:val="single" w:sz="4" w:space="0" w:color="auto"/>
              <w:right w:val="nil"/>
            </w:tcBorders>
          </w:tcPr>
          <w:p w14:paraId="1B4A1F97" w14:textId="77777777" w:rsidR="001E3C51" w:rsidRPr="001E3C51" w:rsidRDefault="001E3C51" w:rsidP="001E3C51">
            <w:pPr>
              <w:widowControl/>
              <w:autoSpaceDE/>
              <w:autoSpaceDN/>
              <w:ind w:left="-102"/>
              <w:jc w:val="right"/>
              <w:rPr>
                <w:rFonts w:ascii="Arial" w:eastAsia="Times New Roman" w:hAnsi="Arial" w:cs="Arial"/>
                <w:b/>
                <w:bCs/>
                <w:sz w:val="20"/>
                <w:szCs w:val="20"/>
              </w:rPr>
            </w:pPr>
          </w:p>
        </w:tc>
        <w:tc>
          <w:tcPr>
            <w:tcW w:w="804" w:type="pct"/>
            <w:gridSpan w:val="2"/>
            <w:tcBorders>
              <w:top w:val="single" w:sz="4" w:space="0" w:color="auto"/>
              <w:left w:val="nil"/>
              <w:bottom w:val="single" w:sz="4" w:space="0" w:color="auto"/>
              <w:right w:val="nil"/>
            </w:tcBorders>
            <w:shd w:val="clear" w:color="auto" w:fill="auto"/>
            <w:noWrap/>
          </w:tcPr>
          <w:p w14:paraId="05AAAD24" w14:textId="77777777" w:rsidR="001E3C51" w:rsidRPr="001E3C51" w:rsidRDefault="001E3C51" w:rsidP="001E3C51">
            <w:pPr>
              <w:widowControl/>
              <w:autoSpaceDE/>
              <w:autoSpaceDN/>
              <w:jc w:val="right"/>
              <w:rPr>
                <w:rFonts w:ascii="Arial" w:eastAsia="Times New Roman" w:hAnsi="Arial" w:cs="Arial"/>
                <w:b/>
                <w:bCs/>
                <w:sz w:val="20"/>
                <w:szCs w:val="20"/>
              </w:rPr>
            </w:pPr>
            <w:r w:rsidRPr="001E3C51">
              <w:rPr>
                <w:rFonts w:ascii="Arial" w:eastAsia="Times New Roman" w:hAnsi="Arial" w:cs="Arial"/>
                <w:b/>
                <w:sz w:val="20"/>
                <w:szCs w:val="20"/>
                <w:lang w:val="en-CA"/>
              </w:rPr>
              <w:t>December 31, 2021</w:t>
            </w:r>
          </w:p>
        </w:tc>
        <w:tc>
          <w:tcPr>
            <w:tcW w:w="821" w:type="pct"/>
            <w:tcBorders>
              <w:top w:val="single" w:sz="4" w:space="0" w:color="auto"/>
              <w:left w:val="nil"/>
              <w:bottom w:val="single" w:sz="4" w:space="0" w:color="auto"/>
              <w:right w:val="nil"/>
            </w:tcBorders>
            <w:shd w:val="clear" w:color="auto" w:fill="auto"/>
            <w:noWrap/>
          </w:tcPr>
          <w:p w14:paraId="7FC0E3EA" w14:textId="77777777" w:rsidR="001E3C51" w:rsidRPr="001E3C51" w:rsidRDefault="001E3C51" w:rsidP="001E3C51">
            <w:pPr>
              <w:widowControl/>
              <w:autoSpaceDE/>
              <w:autoSpaceDN/>
              <w:jc w:val="right"/>
              <w:rPr>
                <w:rFonts w:ascii="Arial" w:eastAsia="Times New Roman" w:hAnsi="Arial" w:cs="Arial"/>
                <w:b/>
                <w:bCs/>
                <w:sz w:val="20"/>
                <w:szCs w:val="20"/>
              </w:rPr>
            </w:pPr>
            <w:r w:rsidRPr="001E3C51">
              <w:rPr>
                <w:rFonts w:ascii="Arial" w:eastAsia="Times New Roman" w:hAnsi="Arial" w:cs="Arial"/>
                <w:b/>
                <w:sz w:val="20"/>
                <w:szCs w:val="20"/>
                <w:lang w:val="en-CA"/>
              </w:rPr>
              <w:t>December 31, 2020</w:t>
            </w:r>
          </w:p>
        </w:tc>
      </w:tr>
      <w:tr w:rsidR="001E3C51" w:rsidRPr="001E3C51" w14:paraId="757049F0" w14:textId="77777777" w:rsidTr="00A5780C">
        <w:trPr>
          <w:trHeight w:val="20"/>
          <w:jc w:val="right"/>
        </w:trPr>
        <w:tc>
          <w:tcPr>
            <w:tcW w:w="1870" w:type="pct"/>
            <w:tcBorders>
              <w:top w:val="single" w:sz="4" w:space="0" w:color="auto"/>
              <w:left w:val="nil"/>
              <w:bottom w:val="nil"/>
              <w:right w:val="nil"/>
            </w:tcBorders>
            <w:shd w:val="clear" w:color="auto" w:fill="auto"/>
            <w:noWrap/>
            <w:vAlign w:val="bottom"/>
            <w:hideMark/>
          </w:tcPr>
          <w:p w14:paraId="2F8AC344" w14:textId="77777777" w:rsidR="001E3C51" w:rsidRPr="001E3C51" w:rsidRDefault="001E3C51" w:rsidP="001E3C51">
            <w:pPr>
              <w:widowControl/>
              <w:autoSpaceDE/>
              <w:autoSpaceDN/>
              <w:rPr>
                <w:rFonts w:ascii="Arial" w:eastAsia="Times New Roman" w:hAnsi="Arial" w:cs="Arial"/>
                <w:sz w:val="20"/>
                <w:szCs w:val="20"/>
              </w:rPr>
            </w:pPr>
          </w:p>
        </w:tc>
        <w:tc>
          <w:tcPr>
            <w:tcW w:w="731" w:type="pct"/>
            <w:gridSpan w:val="2"/>
            <w:tcBorders>
              <w:top w:val="single" w:sz="4" w:space="0" w:color="auto"/>
              <w:left w:val="nil"/>
              <w:bottom w:val="nil"/>
              <w:right w:val="nil"/>
            </w:tcBorders>
            <w:vAlign w:val="bottom"/>
          </w:tcPr>
          <w:p w14:paraId="7971DE78" w14:textId="77777777" w:rsidR="001E3C51" w:rsidRPr="001E3C51" w:rsidRDefault="001E3C51" w:rsidP="001E3C51">
            <w:pPr>
              <w:widowControl/>
              <w:autoSpaceDE/>
              <w:autoSpaceDN/>
              <w:jc w:val="right"/>
              <w:rPr>
                <w:rFonts w:ascii="Arial" w:eastAsia="Times New Roman" w:hAnsi="Arial" w:cs="Arial"/>
                <w:b/>
                <w:bCs/>
                <w:sz w:val="20"/>
                <w:szCs w:val="20"/>
              </w:rPr>
            </w:pPr>
          </w:p>
        </w:tc>
        <w:tc>
          <w:tcPr>
            <w:tcW w:w="774" w:type="pct"/>
            <w:gridSpan w:val="2"/>
            <w:tcBorders>
              <w:top w:val="single" w:sz="4" w:space="0" w:color="auto"/>
              <w:left w:val="nil"/>
              <w:bottom w:val="nil"/>
              <w:right w:val="nil"/>
            </w:tcBorders>
            <w:vAlign w:val="bottom"/>
          </w:tcPr>
          <w:p w14:paraId="20708879" w14:textId="77777777" w:rsidR="001E3C51" w:rsidRPr="001E3C51" w:rsidRDefault="001E3C51" w:rsidP="001E3C51">
            <w:pPr>
              <w:widowControl/>
              <w:autoSpaceDE/>
              <w:autoSpaceDN/>
              <w:jc w:val="right"/>
              <w:rPr>
                <w:rFonts w:ascii="Arial" w:eastAsia="Times New Roman" w:hAnsi="Arial" w:cs="Arial"/>
                <w:b/>
                <w:bCs/>
                <w:sz w:val="20"/>
                <w:szCs w:val="20"/>
              </w:rPr>
            </w:pPr>
          </w:p>
        </w:tc>
        <w:tc>
          <w:tcPr>
            <w:tcW w:w="804" w:type="pct"/>
            <w:gridSpan w:val="2"/>
            <w:tcBorders>
              <w:top w:val="single" w:sz="4" w:space="0" w:color="auto"/>
              <w:left w:val="nil"/>
              <w:bottom w:val="nil"/>
              <w:right w:val="nil"/>
            </w:tcBorders>
            <w:shd w:val="clear" w:color="auto" w:fill="auto"/>
            <w:noWrap/>
            <w:vAlign w:val="bottom"/>
            <w:hideMark/>
          </w:tcPr>
          <w:p w14:paraId="18304C92" w14:textId="77777777" w:rsidR="001E3C51" w:rsidRPr="001E3C51" w:rsidRDefault="001E3C51" w:rsidP="001E3C51">
            <w:pPr>
              <w:widowControl/>
              <w:autoSpaceDE/>
              <w:autoSpaceDN/>
              <w:jc w:val="right"/>
              <w:rPr>
                <w:rFonts w:ascii="Arial" w:eastAsia="Times New Roman" w:hAnsi="Arial" w:cs="Arial"/>
                <w:b/>
                <w:bCs/>
                <w:sz w:val="20"/>
                <w:szCs w:val="20"/>
              </w:rPr>
            </w:pPr>
            <w:r w:rsidRPr="001E3C51">
              <w:rPr>
                <w:rFonts w:ascii="Arial" w:eastAsia="Times New Roman" w:hAnsi="Arial" w:cs="Arial"/>
                <w:b/>
                <w:bCs/>
                <w:sz w:val="20"/>
                <w:szCs w:val="20"/>
              </w:rPr>
              <w:t xml:space="preserve"> $ </w:t>
            </w:r>
          </w:p>
        </w:tc>
        <w:tc>
          <w:tcPr>
            <w:tcW w:w="821" w:type="pct"/>
            <w:tcBorders>
              <w:top w:val="single" w:sz="4" w:space="0" w:color="auto"/>
              <w:left w:val="nil"/>
              <w:bottom w:val="nil"/>
              <w:right w:val="nil"/>
            </w:tcBorders>
            <w:shd w:val="clear" w:color="auto" w:fill="auto"/>
            <w:noWrap/>
            <w:vAlign w:val="bottom"/>
            <w:hideMark/>
          </w:tcPr>
          <w:p w14:paraId="0FF642E0" w14:textId="77777777" w:rsidR="001E3C51" w:rsidRPr="001E3C51" w:rsidRDefault="001E3C51" w:rsidP="001E3C51">
            <w:pPr>
              <w:widowControl/>
              <w:autoSpaceDE/>
              <w:autoSpaceDN/>
              <w:jc w:val="right"/>
              <w:rPr>
                <w:rFonts w:ascii="Arial" w:eastAsia="Times New Roman" w:hAnsi="Arial" w:cs="Arial"/>
                <w:b/>
                <w:bCs/>
                <w:sz w:val="20"/>
                <w:szCs w:val="20"/>
              </w:rPr>
            </w:pPr>
            <w:r w:rsidRPr="001E3C51">
              <w:rPr>
                <w:rFonts w:ascii="Arial" w:eastAsia="Times New Roman" w:hAnsi="Arial" w:cs="Arial"/>
                <w:b/>
                <w:bCs/>
                <w:sz w:val="20"/>
                <w:szCs w:val="20"/>
              </w:rPr>
              <w:t xml:space="preserve"> $ </w:t>
            </w:r>
          </w:p>
        </w:tc>
      </w:tr>
      <w:tr w:rsidR="001E3C51" w:rsidRPr="001E3C51" w14:paraId="6EA96155" w14:textId="77777777" w:rsidTr="00A5780C">
        <w:trPr>
          <w:trHeight w:val="20"/>
          <w:jc w:val="right"/>
        </w:trPr>
        <w:tc>
          <w:tcPr>
            <w:tcW w:w="1870" w:type="pct"/>
            <w:tcBorders>
              <w:top w:val="nil"/>
              <w:left w:val="nil"/>
              <w:right w:val="nil"/>
            </w:tcBorders>
            <w:shd w:val="clear" w:color="auto" w:fill="auto"/>
            <w:noWrap/>
          </w:tcPr>
          <w:p w14:paraId="6FD16FB9" w14:textId="77777777" w:rsidR="001E3C51" w:rsidRPr="001E3C51" w:rsidRDefault="001E3C51" w:rsidP="001E3C51">
            <w:pPr>
              <w:widowControl/>
              <w:autoSpaceDE/>
              <w:autoSpaceDN/>
              <w:ind w:leftChars="-3" w:left="-1" w:hangingChars="3" w:hanging="6"/>
              <w:rPr>
                <w:rFonts w:ascii="Arial" w:eastAsia="Times New Roman" w:hAnsi="Arial" w:cs="Arial"/>
                <w:sz w:val="20"/>
                <w:szCs w:val="20"/>
              </w:rPr>
            </w:pPr>
            <w:r w:rsidRPr="001E3C51">
              <w:rPr>
                <w:rFonts w:ascii="Arial" w:eastAsia="Times New Roman" w:hAnsi="Arial" w:cs="Arial"/>
                <w:sz w:val="20"/>
                <w:szCs w:val="20"/>
              </w:rPr>
              <w:t>Salaries and benefits</w:t>
            </w:r>
          </w:p>
        </w:tc>
        <w:tc>
          <w:tcPr>
            <w:tcW w:w="731" w:type="pct"/>
            <w:gridSpan w:val="2"/>
            <w:tcBorders>
              <w:top w:val="nil"/>
              <w:left w:val="nil"/>
              <w:right w:val="nil"/>
            </w:tcBorders>
          </w:tcPr>
          <w:p w14:paraId="50B81001" w14:textId="77777777" w:rsidR="001E3C51" w:rsidRPr="001E3C51" w:rsidRDefault="001E3C51" w:rsidP="001E3C51">
            <w:pPr>
              <w:widowControl/>
              <w:autoSpaceDE/>
              <w:autoSpaceDN/>
              <w:jc w:val="right"/>
              <w:rPr>
                <w:rFonts w:ascii="Arial" w:eastAsia="Times New Roman" w:hAnsi="Arial" w:cs="Arial"/>
                <w:bCs/>
                <w:sz w:val="20"/>
                <w:szCs w:val="20"/>
              </w:rPr>
            </w:pPr>
          </w:p>
        </w:tc>
        <w:tc>
          <w:tcPr>
            <w:tcW w:w="774" w:type="pct"/>
            <w:gridSpan w:val="2"/>
            <w:tcBorders>
              <w:top w:val="nil"/>
              <w:left w:val="nil"/>
              <w:right w:val="nil"/>
            </w:tcBorders>
          </w:tcPr>
          <w:p w14:paraId="404AE3AF" w14:textId="77777777" w:rsidR="001E3C51" w:rsidRPr="001E3C51" w:rsidRDefault="001E3C51" w:rsidP="001E3C51">
            <w:pPr>
              <w:widowControl/>
              <w:autoSpaceDE/>
              <w:autoSpaceDN/>
              <w:jc w:val="right"/>
              <w:rPr>
                <w:rFonts w:ascii="Arial" w:eastAsia="Times New Roman" w:hAnsi="Arial" w:cs="Arial"/>
                <w:bCs/>
                <w:sz w:val="20"/>
                <w:szCs w:val="20"/>
              </w:rPr>
            </w:pPr>
          </w:p>
        </w:tc>
        <w:tc>
          <w:tcPr>
            <w:tcW w:w="804" w:type="pct"/>
            <w:gridSpan w:val="2"/>
            <w:tcBorders>
              <w:top w:val="nil"/>
              <w:left w:val="nil"/>
              <w:right w:val="nil"/>
            </w:tcBorders>
            <w:shd w:val="clear" w:color="auto" w:fill="auto"/>
            <w:noWrap/>
          </w:tcPr>
          <w:p w14:paraId="140D8AF1" w14:textId="77777777" w:rsidR="001E3C51" w:rsidRPr="001E3C51" w:rsidRDefault="001E3C51" w:rsidP="001E3C51">
            <w:pPr>
              <w:widowControl/>
              <w:autoSpaceDE/>
              <w:autoSpaceDN/>
              <w:jc w:val="right"/>
              <w:rPr>
                <w:rFonts w:ascii="Arial" w:eastAsia="Times New Roman" w:hAnsi="Arial" w:cs="Arial"/>
                <w:bCs/>
                <w:sz w:val="20"/>
                <w:szCs w:val="20"/>
              </w:rPr>
            </w:pPr>
            <w:r w:rsidRPr="001E3C51">
              <w:rPr>
                <w:rFonts w:ascii="Arial" w:eastAsia="Times New Roman" w:hAnsi="Arial" w:cs="Arial"/>
                <w:bCs/>
                <w:sz w:val="20"/>
                <w:szCs w:val="20"/>
              </w:rPr>
              <w:t>1,011,684</w:t>
            </w:r>
          </w:p>
        </w:tc>
        <w:tc>
          <w:tcPr>
            <w:tcW w:w="821" w:type="pct"/>
            <w:tcBorders>
              <w:top w:val="nil"/>
              <w:left w:val="nil"/>
              <w:right w:val="nil"/>
            </w:tcBorders>
            <w:shd w:val="clear" w:color="auto" w:fill="auto"/>
            <w:noWrap/>
          </w:tcPr>
          <w:p w14:paraId="6697F546" w14:textId="77777777" w:rsidR="001E3C51" w:rsidRPr="001E3C51" w:rsidRDefault="001E3C51" w:rsidP="001E3C51">
            <w:pPr>
              <w:widowControl/>
              <w:autoSpaceDE/>
              <w:autoSpaceDN/>
              <w:jc w:val="right"/>
              <w:rPr>
                <w:rFonts w:ascii="Arial" w:eastAsia="Times New Roman" w:hAnsi="Arial" w:cs="Arial"/>
                <w:bCs/>
                <w:sz w:val="20"/>
                <w:szCs w:val="20"/>
              </w:rPr>
            </w:pPr>
            <w:r w:rsidRPr="001E3C51">
              <w:rPr>
                <w:rFonts w:ascii="Arial" w:eastAsia="Times New Roman" w:hAnsi="Arial" w:cs="Arial"/>
                <w:bCs/>
                <w:sz w:val="20"/>
                <w:szCs w:val="20"/>
              </w:rPr>
              <w:t>1,286,833</w:t>
            </w:r>
          </w:p>
        </w:tc>
      </w:tr>
      <w:tr w:rsidR="001E3C51" w:rsidRPr="001E3C51" w14:paraId="20A9B13F" w14:textId="77777777" w:rsidTr="00A5780C">
        <w:trPr>
          <w:trHeight w:val="20"/>
          <w:jc w:val="right"/>
        </w:trPr>
        <w:tc>
          <w:tcPr>
            <w:tcW w:w="1870" w:type="pct"/>
            <w:tcBorders>
              <w:top w:val="nil"/>
              <w:left w:val="nil"/>
              <w:right w:val="nil"/>
            </w:tcBorders>
            <w:shd w:val="clear" w:color="auto" w:fill="auto"/>
            <w:noWrap/>
          </w:tcPr>
          <w:p w14:paraId="7307F116" w14:textId="77777777" w:rsidR="001E3C51" w:rsidRPr="001E3C51" w:rsidRDefault="001E3C51" w:rsidP="001E3C51">
            <w:pPr>
              <w:widowControl/>
              <w:autoSpaceDE/>
              <w:autoSpaceDN/>
              <w:ind w:leftChars="-3" w:left="-1" w:hangingChars="3" w:hanging="6"/>
              <w:rPr>
                <w:rFonts w:ascii="Arial" w:eastAsia="Times New Roman" w:hAnsi="Arial" w:cs="Arial"/>
                <w:sz w:val="20"/>
                <w:szCs w:val="20"/>
              </w:rPr>
            </w:pPr>
            <w:r w:rsidRPr="001E3C51">
              <w:rPr>
                <w:rFonts w:ascii="Arial" w:eastAsia="Times New Roman" w:hAnsi="Arial" w:cs="Arial"/>
                <w:sz w:val="20"/>
                <w:szCs w:val="20"/>
              </w:rPr>
              <w:t>Management fees</w:t>
            </w:r>
          </w:p>
        </w:tc>
        <w:tc>
          <w:tcPr>
            <w:tcW w:w="731" w:type="pct"/>
            <w:gridSpan w:val="2"/>
            <w:tcBorders>
              <w:top w:val="nil"/>
              <w:left w:val="nil"/>
              <w:right w:val="nil"/>
            </w:tcBorders>
          </w:tcPr>
          <w:p w14:paraId="12B8D8E6" w14:textId="77777777" w:rsidR="001E3C51" w:rsidRPr="001E3C51" w:rsidRDefault="001E3C51" w:rsidP="001E3C51">
            <w:pPr>
              <w:widowControl/>
              <w:autoSpaceDE/>
              <w:autoSpaceDN/>
              <w:jc w:val="right"/>
              <w:rPr>
                <w:rFonts w:ascii="Arial" w:eastAsia="Times New Roman" w:hAnsi="Arial" w:cs="Arial"/>
                <w:bCs/>
                <w:sz w:val="20"/>
                <w:szCs w:val="20"/>
              </w:rPr>
            </w:pPr>
          </w:p>
        </w:tc>
        <w:tc>
          <w:tcPr>
            <w:tcW w:w="774" w:type="pct"/>
            <w:gridSpan w:val="2"/>
            <w:tcBorders>
              <w:top w:val="nil"/>
              <w:left w:val="nil"/>
              <w:right w:val="nil"/>
            </w:tcBorders>
          </w:tcPr>
          <w:p w14:paraId="5865A56D" w14:textId="77777777" w:rsidR="001E3C51" w:rsidRPr="001E3C51" w:rsidRDefault="001E3C51" w:rsidP="001E3C51">
            <w:pPr>
              <w:widowControl/>
              <w:autoSpaceDE/>
              <w:autoSpaceDN/>
              <w:jc w:val="right"/>
              <w:rPr>
                <w:rFonts w:ascii="Arial" w:eastAsia="Times New Roman" w:hAnsi="Arial" w:cs="Arial"/>
                <w:bCs/>
                <w:sz w:val="20"/>
                <w:szCs w:val="20"/>
              </w:rPr>
            </w:pPr>
          </w:p>
        </w:tc>
        <w:tc>
          <w:tcPr>
            <w:tcW w:w="804" w:type="pct"/>
            <w:gridSpan w:val="2"/>
            <w:tcBorders>
              <w:top w:val="nil"/>
              <w:left w:val="nil"/>
              <w:right w:val="nil"/>
            </w:tcBorders>
            <w:shd w:val="clear" w:color="auto" w:fill="auto"/>
            <w:noWrap/>
          </w:tcPr>
          <w:p w14:paraId="4E883770" w14:textId="77777777" w:rsidR="001E3C51" w:rsidRPr="001E3C51" w:rsidRDefault="001E3C51" w:rsidP="001E3C51">
            <w:pPr>
              <w:widowControl/>
              <w:autoSpaceDE/>
              <w:autoSpaceDN/>
              <w:jc w:val="right"/>
              <w:rPr>
                <w:rFonts w:ascii="Arial" w:eastAsia="Times New Roman" w:hAnsi="Arial" w:cs="Arial"/>
                <w:bCs/>
                <w:sz w:val="20"/>
                <w:szCs w:val="20"/>
              </w:rPr>
            </w:pPr>
            <w:r w:rsidRPr="001E3C51">
              <w:rPr>
                <w:rFonts w:ascii="Arial" w:eastAsia="Times New Roman" w:hAnsi="Arial" w:cs="Arial"/>
                <w:bCs/>
                <w:sz w:val="20"/>
                <w:szCs w:val="20"/>
              </w:rPr>
              <w:t>54,600</w:t>
            </w:r>
          </w:p>
        </w:tc>
        <w:tc>
          <w:tcPr>
            <w:tcW w:w="821" w:type="pct"/>
            <w:tcBorders>
              <w:top w:val="nil"/>
              <w:left w:val="nil"/>
              <w:right w:val="nil"/>
            </w:tcBorders>
            <w:shd w:val="clear" w:color="auto" w:fill="auto"/>
            <w:noWrap/>
          </w:tcPr>
          <w:p w14:paraId="5AC3B2A8" w14:textId="77777777" w:rsidR="001E3C51" w:rsidRPr="001E3C51" w:rsidRDefault="001E3C51" w:rsidP="001E3C51">
            <w:pPr>
              <w:widowControl/>
              <w:autoSpaceDE/>
              <w:autoSpaceDN/>
              <w:jc w:val="right"/>
              <w:rPr>
                <w:rFonts w:ascii="Arial" w:eastAsia="Times New Roman" w:hAnsi="Arial" w:cs="Arial"/>
                <w:bCs/>
                <w:sz w:val="20"/>
                <w:szCs w:val="20"/>
              </w:rPr>
            </w:pPr>
            <w:r w:rsidRPr="001E3C51">
              <w:rPr>
                <w:rFonts w:ascii="Arial" w:eastAsia="Times New Roman" w:hAnsi="Arial" w:cs="Arial"/>
                <w:bCs/>
                <w:sz w:val="20"/>
                <w:szCs w:val="20"/>
              </w:rPr>
              <w:t>267,400</w:t>
            </w:r>
          </w:p>
        </w:tc>
      </w:tr>
      <w:tr w:rsidR="001E3C51" w:rsidRPr="001E3C51" w14:paraId="3B5D3ECC" w14:textId="77777777" w:rsidTr="00A5780C">
        <w:trPr>
          <w:trHeight w:val="20"/>
          <w:jc w:val="right"/>
        </w:trPr>
        <w:tc>
          <w:tcPr>
            <w:tcW w:w="1870" w:type="pct"/>
            <w:tcBorders>
              <w:top w:val="nil"/>
              <w:left w:val="nil"/>
              <w:right w:val="nil"/>
            </w:tcBorders>
            <w:shd w:val="clear" w:color="auto" w:fill="auto"/>
            <w:noWrap/>
          </w:tcPr>
          <w:p w14:paraId="29018C0A" w14:textId="77777777" w:rsidR="001E3C51" w:rsidRPr="001E3C51" w:rsidRDefault="001E3C51" w:rsidP="001E3C51">
            <w:pPr>
              <w:widowControl/>
              <w:autoSpaceDE/>
              <w:autoSpaceDN/>
              <w:ind w:leftChars="-3" w:left="-1" w:hangingChars="3" w:hanging="6"/>
              <w:rPr>
                <w:rFonts w:ascii="Arial" w:eastAsia="Times New Roman" w:hAnsi="Arial" w:cs="Arial"/>
                <w:sz w:val="20"/>
                <w:szCs w:val="20"/>
                <w:lang w:val="en-CA"/>
              </w:rPr>
            </w:pPr>
            <w:r w:rsidRPr="001E3C51">
              <w:rPr>
                <w:rFonts w:ascii="Arial" w:eastAsia="Times New Roman" w:hAnsi="Arial" w:cs="Arial"/>
                <w:sz w:val="20"/>
                <w:szCs w:val="20"/>
                <w:lang w:val="en-CA"/>
              </w:rPr>
              <w:t>Administrative and office</w:t>
            </w:r>
          </w:p>
        </w:tc>
        <w:tc>
          <w:tcPr>
            <w:tcW w:w="731" w:type="pct"/>
            <w:gridSpan w:val="2"/>
            <w:tcBorders>
              <w:top w:val="nil"/>
              <w:left w:val="nil"/>
              <w:right w:val="nil"/>
            </w:tcBorders>
            <w:vAlign w:val="bottom"/>
          </w:tcPr>
          <w:p w14:paraId="3B66206B" w14:textId="77777777" w:rsidR="001E3C51" w:rsidRPr="001E3C51" w:rsidRDefault="001E3C51" w:rsidP="001E3C51">
            <w:pPr>
              <w:widowControl/>
              <w:autoSpaceDE/>
              <w:autoSpaceDN/>
              <w:jc w:val="right"/>
              <w:rPr>
                <w:rFonts w:ascii="Arial" w:eastAsia="Times New Roman" w:hAnsi="Arial" w:cs="Arial"/>
                <w:bCs/>
                <w:sz w:val="20"/>
                <w:szCs w:val="20"/>
              </w:rPr>
            </w:pPr>
          </w:p>
        </w:tc>
        <w:tc>
          <w:tcPr>
            <w:tcW w:w="774" w:type="pct"/>
            <w:gridSpan w:val="2"/>
            <w:tcBorders>
              <w:top w:val="nil"/>
              <w:left w:val="nil"/>
              <w:right w:val="nil"/>
            </w:tcBorders>
            <w:vAlign w:val="bottom"/>
          </w:tcPr>
          <w:p w14:paraId="57F678F8" w14:textId="77777777" w:rsidR="001E3C51" w:rsidRPr="001E3C51" w:rsidRDefault="001E3C51" w:rsidP="001E3C51">
            <w:pPr>
              <w:widowControl/>
              <w:autoSpaceDE/>
              <w:autoSpaceDN/>
              <w:jc w:val="right"/>
              <w:rPr>
                <w:rFonts w:ascii="Arial" w:eastAsia="Times New Roman" w:hAnsi="Arial" w:cs="Times New Roman"/>
                <w:sz w:val="20"/>
                <w:szCs w:val="24"/>
                <w:lang w:val="en-CA"/>
              </w:rPr>
            </w:pPr>
          </w:p>
        </w:tc>
        <w:tc>
          <w:tcPr>
            <w:tcW w:w="804" w:type="pct"/>
            <w:gridSpan w:val="2"/>
            <w:tcBorders>
              <w:top w:val="nil"/>
              <w:left w:val="nil"/>
              <w:right w:val="nil"/>
            </w:tcBorders>
            <w:shd w:val="clear" w:color="auto" w:fill="auto"/>
            <w:noWrap/>
            <w:vAlign w:val="bottom"/>
          </w:tcPr>
          <w:p w14:paraId="258BA29A" w14:textId="77777777" w:rsidR="001E3C51" w:rsidRPr="001E3C51" w:rsidRDefault="001E3C51" w:rsidP="001E3C51">
            <w:pPr>
              <w:widowControl/>
              <w:autoSpaceDE/>
              <w:autoSpaceDN/>
              <w:jc w:val="right"/>
              <w:rPr>
                <w:rFonts w:ascii="Arial" w:eastAsia="Times New Roman" w:hAnsi="Arial" w:cs="Arial"/>
                <w:bCs/>
                <w:sz w:val="20"/>
                <w:szCs w:val="20"/>
              </w:rPr>
            </w:pPr>
            <w:r w:rsidRPr="001E3C51">
              <w:rPr>
                <w:rFonts w:ascii="Arial" w:eastAsia="Times New Roman" w:hAnsi="Arial" w:cs="Arial"/>
                <w:bCs/>
                <w:sz w:val="20"/>
                <w:szCs w:val="20"/>
              </w:rPr>
              <w:t>125,050</w:t>
            </w:r>
          </w:p>
        </w:tc>
        <w:tc>
          <w:tcPr>
            <w:tcW w:w="821" w:type="pct"/>
            <w:tcBorders>
              <w:top w:val="nil"/>
              <w:left w:val="nil"/>
              <w:right w:val="nil"/>
            </w:tcBorders>
            <w:shd w:val="clear" w:color="auto" w:fill="auto"/>
            <w:noWrap/>
            <w:vAlign w:val="bottom"/>
          </w:tcPr>
          <w:p w14:paraId="78E9C5FC" w14:textId="77777777" w:rsidR="001E3C51" w:rsidRPr="001E3C51" w:rsidRDefault="001E3C51" w:rsidP="001E3C51">
            <w:pPr>
              <w:widowControl/>
              <w:autoSpaceDE/>
              <w:autoSpaceDN/>
              <w:jc w:val="right"/>
              <w:rPr>
                <w:rFonts w:ascii="Arial" w:eastAsia="Times New Roman" w:hAnsi="Arial" w:cs="Times New Roman"/>
                <w:sz w:val="20"/>
                <w:szCs w:val="24"/>
                <w:lang w:val="en-CA"/>
              </w:rPr>
            </w:pPr>
            <w:r w:rsidRPr="001E3C51">
              <w:rPr>
                <w:rFonts w:ascii="Arial" w:eastAsia="Times New Roman" w:hAnsi="Arial" w:cs="Arial"/>
                <w:bCs/>
                <w:sz w:val="20"/>
                <w:szCs w:val="20"/>
              </w:rPr>
              <w:t>109,500</w:t>
            </w:r>
          </w:p>
        </w:tc>
      </w:tr>
      <w:tr w:rsidR="001E3C51" w:rsidRPr="001E3C51" w14:paraId="4509E3FC" w14:textId="77777777" w:rsidTr="00A5780C">
        <w:trPr>
          <w:trHeight w:val="20"/>
          <w:jc w:val="right"/>
        </w:trPr>
        <w:tc>
          <w:tcPr>
            <w:tcW w:w="1870" w:type="pct"/>
            <w:tcBorders>
              <w:top w:val="nil"/>
              <w:left w:val="nil"/>
              <w:right w:val="nil"/>
            </w:tcBorders>
            <w:shd w:val="clear" w:color="auto" w:fill="auto"/>
            <w:noWrap/>
          </w:tcPr>
          <w:p w14:paraId="033EE178" w14:textId="77777777" w:rsidR="001E3C51" w:rsidRPr="001E3C51" w:rsidRDefault="001E3C51" w:rsidP="001E3C51">
            <w:pPr>
              <w:widowControl/>
              <w:autoSpaceDE/>
              <w:autoSpaceDN/>
              <w:ind w:leftChars="-3" w:left="-1" w:hangingChars="3" w:hanging="6"/>
              <w:rPr>
                <w:rFonts w:ascii="Arial" w:eastAsia="Times New Roman" w:hAnsi="Arial" w:cs="Arial"/>
                <w:sz w:val="20"/>
                <w:szCs w:val="20"/>
              </w:rPr>
            </w:pPr>
            <w:r w:rsidRPr="001E3C51">
              <w:rPr>
                <w:rFonts w:ascii="Arial" w:eastAsia="Times New Roman" w:hAnsi="Arial" w:cs="Arial"/>
                <w:sz w:val="20"/>
                <w:szCs w:val="20"/>
                <w:lang w:val="en-CA"/>
              </w:rPr>
              <w:t>Finance charge on lease obligations</w:t>
            </w:r>
            <w:r w:rsidRPr="001E3C51">
              <w:rPr>
                <w:rFonts w:ascii="Arial" w:eastAsia="Times New Roman" w:hAnsi="Arial" w:cs="Arial"/>
                <w:sz w:val="20"/>
                <w:szCs w:val="20"/>
                <w:vertAlign w:val="superscript"/>
              </w:rPr>
              <w:t>1</w:t>
            </w:r>
          </w:p>
        </w:tc>
        <w:tc>
          <w:tcPr>
            <w:tcW w:w="731" w:type="pct"/>
            <w:gridSpan w:val="2"/>
            <w:tcBorders>
              <w:top w:val="nil"/>
              <w:left w:val="nil"/>
              <w:right w:val="nil"/>
            </w:tcBorders>
            <w:vAlign w:val="bottom"/>
          </w:tcPr>
          <w:p w14:paraId="1E5C6567" w14:textId="77777777" w:rsidR="001E3C51" w:rsidRPr="001E3C51" w:rsidRDefault="001E3C51" w:rsidP="001E3C51">
            <w:pPr>
              <w:widowControl/>
              <w:autoSpaceDE/>
              <w:autoSpaceDN/>
              <w:jc w:val="right"/>
              <w:rPr>
                <w:rFonts w:ascii="Arial" w:eastAsia="Times New Roman" w:hAnsi="Arial" w:cs="Arial"/>
                <w:bCs/>
                <w:sz w:val="20"/>
                <w:szCs w:val="20"/>
              </w:rPr>
            </w:pPr>
          </w:p>
        </w:tc>
        <w:tc>
          <w:tcPr>
            <w:tcW w:w="774" w:type="pct"/>
            <w:gridSpan w:val="2"/>
            <w:tcBorders>
              <w:top w:val="nil"/>
              <w:left w:val="nil"/>
              <w:right w:val="nil"/>
            </w:tcBorders>
            <w:vAlign w:val="bottom"/>
          </w:tcPr>
          <w:p w14:paraId="59AAEBB9" w14:textId="77777777" w:rsidR="001E3C51" w:rsidRPr="001E3C51" w:rsidRDefault="001E3C51" w:rsidP="001E3C51">
            <w:pPr>
              <w:widowControl/>
              <w:autoSpaceDE/>
              <w:autoSpaceDN/>
              <w:jc w:val="right"/>
              <w:rPr>
                <w:rFonts w:ascii="Arial" w:eastAsia="Times New Roman" w:hAnsi="Arial" w:cs="Arial"/>
                <w:bCs/>
                <w:sz w:val="20"/>
                <w:szCs w:val="20"/>
              </w:rPr>
            </w:pPr>
          </w:p>
        </w:tc>
        <w:tc>
          <w:tcPr>
            <w:tcW w:w="804" w:type="pct"/>
            <w:gridSpan w:val="2"/>
            <w:tcBorders>
              <w:top w:val="nil"/>
              <w:left w:val="nil"/>
              <w:right w:val="nil"/>
            </w:tcBorders>
            <w:shd w:val="clear" w:color="auto" w:fill="auto"/>
            <w:noWrap/>
            <w:vAlign w:val="bottom"/>
          </w:tcPr>
          <w:p w14:paraId="0D21F7BE" w14:textId="77777777" w:rsidR="001E3C51" w:rsidRPr="001E3C51" w:rsidRDefault="001E3C51" w:rsidP="001E3C51">
            <w:pPr>
              <w:widowControl/>
              <w:autoSpaceDE/>
              <w:autoSpaceDN/>
              <w:jc w:val="right"/>
              <w:rPr>
                <w:rFonts w:ascii="Arial" w:eastAsia="Times New Roman" w:hAnsi="Arial" w:cs="Arial"/>
                <w:bCs/>
                <w:sz w:val="20"/>
                <w:szCs w:val="20"/>
              </w:rPr>
            </w:pPr>
            <w:r w:rsidRPr="001E3C51">
              <w:rPr>
                <w:rFonts w:ascii="Arial" w:eastAsia="Times New Roman" w:hAnsi="Arial" w:cs="Arial"/>
                <w:bCs/>
                <w:sz w:val="20"/>
                <w:szCs w:val="20"/>
              </w:rPr>
              <w:t>63,295</w:t>
            </w:r>
          </w:p>
        </w:tc>
        <w:tc>
          <w:tcPr>
            <w:tcW w:w="821" w:type="pct"/>
            <w:tcBorders>
              <w:top w:val="nil"/>
              <w:left w:val="nil"/>
              <w:right w:val="nil"/>
            </w:tcBorders>
            <w:shd w:val="clear" w:color="auto" w:fill="auto"/>
            <w:noWrap/>
            <w:vAlign w:val="bottom"/>
          </w:tcPr>
          <w:p w14:paraId="6B29FE33" w14:textId="77777777" w:rsidR="001E3C51" w:rsidRPr="001E3C51" w:rsidRDefault="001E3C51" w:rsidP="001E3C51">
            <w:pPr>
              <w:widowControl/>
              <w:autoSpaceDE/>
              <w:autoSpaceDN/>
              <w:jc w:val="right"/>
              <w:rPr>
                <w:rFonts w:ascii="Arial" w:eastAsia="Times New Roman" w:hAnsi="Arial" w:cs="Arial"/>
                <w:bCs/>
                <w:sz w:val="20"/>
                <w:szCs w:val="20"/>
              </w:rPr>
            </w:pPr>
            <w:r w:rsidRPr="001E3C51">
              <w:rPr>
                <w:rFonts w:ascii="Arial" w:eastAsia="Times New Roman" w:hAnsi="Arial" w:cs="Arial"/>
                <w:bCs/>
                <w:sz w:val="20"/>
                <w:szCs w:val="20"/>
              </w:rPr>
              <w:t>9,727</w:t>
            </w:r>
          </w:p>
        </w:tc>
      </w:tr>
      <w:tr w:rsidR="001E3C51" w:rsidRPr="001E3C51" w14:paraId="72CA5940" w14:textId="77777777" w:rsidTr="00A5780C">
        <w:trPr>
          <w:trHeight w:val="20"/>
          <w:jc w:val="right"/>
        </w:trPr>
        <w:tc>
          <w:tcPr>
            <w:tcW w:w="1870" w:type="pct"/>
            <w:tcBorders>
              <w:top w:val="nil"/>
              <w:left w:val="nil"/>
              <w:right w:val="nil"/>
            </w:tcBorders>
            <w:shd w:val="clear" w:color="auto" w:fill="auto"/>
            <w:noWrap/>
          </w:tcPr>
          <w:p w14:paraId="277C2552" w14:textId="77777777" w:rsidR="001E3C51" w:rsidRPr="001E3C51" w:rsidRDefault="001E3C51" w:rsidP="001E3C51">
            <w:pPr>
              <w:widowControl/>
              <w:autoSpaceDE/>
              <w:autoSpaceDN/>
              <w:ind w:leftChars="-3" w:left="-1" w:hangingChars="3" w:hanging="6"/>
              <w:rPr>
                <w:rFonts w:ascii="Arial" w:eastAsia="Times New Roman" w:hAnsi="Arial" w:cs="Arial"/>
                <w:sz w:val="20"/>
                <w:szCs w:val="20"/>
              </w:rPr>
            </w:pPr>
            <w:r w:rsidRPr="001E3C51">
              <w:rPr>
                <w:rFonts w:ascii="Arial" w:eastAsia="Times New Roman" w:hAnsi="Arial" w:cs="Arial"/>
                <w:sz w:val="20"/>
                <w:szCs w:val="20"/>
              </w:rPr>
              <w:t>Share-based payments</w:t>
            </w:r>
          </w:p>
        </w:tc>
        <w:tc>
          <w:tcPr>
            <w:tcW w:w="731" w:type="pct"/>
            <w:gridSpan w:val="2"/>
            <w:tcBorders>
              <w:top w:val="nil"/>
              <w:left w:val="nil"/>
              <w:right w:val="nil"/>
            </w:tcBorders>
          </w:tcPr>
          <w:p w14:paraId="60B08E68" w14:textId="77777777" w:rsidR="001E3C51" w:rsidRPr="001E3C51" w:rsidRDefault="001E3C51" w:rsidP="001E3C51">
            <w:pPr>
              <w:widowControl/>
              <w:autoSpaceDE/>
              <w:autoSpaceDN/>
              <w:jc w:val="right"/>
              <w:rPr>
                <w:rFonts w:ascii="Arial" w:eastAsia="Times New Roman" w:hAnsi="Arial" w:cs="Arial"/>
                <w:bCs/>
                <w:sz w:val="20"/>
                <w:szCs w:val="20"/>
              </w:rPr>
            </w:pPr>
          </w:p>
        </w:tc>
        <w:tc>
          <w:tcPr>
            <w:tcW w:w="774" w:type="pct"/>
            <w:gridSpan w:val="2"/>
            <w:tcBorders>
              <w:top w:val="nil"/>
              <w:left w:val="nil"/>
              <w:right w:val="nil"/>
            </w:tcBorders>
          </w:tcPr>
          <w:p w14:paraId="705420E4" w14:textId="77777777" w:rsidR="001E3C51" w:rsidRPr="001E3C51" w:rsidRDefault="001E3C51" w:rsidP="001E3C51">
            <w:pPr>
              <w:widowControl/>
              <w:autoSpaceDE/>
              <w:autoSpaceDN/>
              <w:jc w:val="right"/>
              <w:rPr>
                <w:rFonts w:ascii="Arial" w:eastAsia="Times New Roman" w:hAnsi="Arial" w:cs="Arial"/>
                <w:bCs/>
                <w:sz w:val="20"/>
                <w:szCs w:val="20"/>
              </w:rPr>
            </w:pPr>
          </w:p>
        </w:tc>
        <w:tc>
          <w:tcPr>
            <w:tcW w:w="804" w:type="pct"/>
            <w:gridSpan w:val="2"/>
            <w:tcBorders>
              <w:top w:val="nil"/>
              <w:left w:val="nil"/>
              <w:right w:val="nil"/>
            </w:tcBorders>
            <w:shd w:val="clear" w:color="auto" w:fill="auto"/>
            <w:noWrap/>
          </w:tcPr>
          <w:p w14:paraId="667EC75B" w14:textId="77777777" w:rsidR="001E3C51" w:rsidRPr="001E3C51" w:rsidRDefault="001E3C51" w:rsidP="001E3C51">
            <w:pPr>
              <w:widowControl/>
              <w:autoSpaceDE/>
              <w:autoSpaceDN/>
              <w:jc w:val="right"/>
              <w:rPr>
                <w:rFonts w:ascii="Arial" w:eastAsia="Times New Roman" w:hAnsi="Arial" w:cs="Arial"/>
                <w:bCs/>
                <w:sz w:val="20"/>
                <w:szCs w:val="20"/>
              </w:rPr>
            </w:pPr>
            <w:r w:rsidRPr="001E3C51">
              <w:rPr>
                <w:rFonts w:ascii="Arial" w:eastAsia="Times New Roman" w:hAnsi="Arial" w:cs="Arial"/>
                <w:bCs/>
                <w:sz w:val="20"/>
                <w:szCs w:val="20"/>
              </w:rPr>
              <w:t>91,141</w:t>
            </w:r>
          </w:p>
        </w:tc>
        <w:tc>
          <w:tcPr>
            <w:tcW w:w="821" w:type="pct"/>
            <w:tcBorders>
              <w:top w:val="nil"/>
              <w:left w:val="nil"/>
              <w:right w:val="nil"/>
            </w:tcBorders>
            <w:shd w:val="clear" w:color="auto" w:fill="auto"/>
            <w:noWrap/>
          </w:tcPr>
          <w:p w14:paraId="28B2EA11" w14:textId="77777777" w:rsidR="001E3C51" w:rsidRPr="001E3C51" w:rsidRDefault="001E3C51" w:rsidP="001E3C51">
            <w:pPr>
              <w:widowControl/>
              <w:autoSpaceDE/>
              <w:autoSpaceDN/>
              <w:jc w:val="right"/>
              <w:rPr>
                <w:rFonts w:ascii="Arial" w:eastAsia="Times New Roman" w:hAnsi="Arial" w:cs="Arial"/>
                <w:bCs/>
                <w:sz w:val="20"/>
                <w:szCs w:val="20"/>
              </w:rPr>
            </w:pPr>
            <w:r w:rsidRPr="001E3C51">
              <w:rPr>
                <w:rFonts w:ascii="Arial" w:eastAsia="Times New Roman" w:hAnsi="Arial" w:cs="Arial"/>
                <w:bCs/>
                <w:sz w:val="20"/>
                <w:szCs w:val="20"/>
              </w:rPr>
              <w:t>80,834</w:t>
            </w:r>
          </w:p>
        </w:tc>
      </w:tr>
      <w:tr w:rsidR="001E3C51" w:rsidRPr="001E3C51" w14:paraId="5FD769BA" w14:textId="77777777" w:rsidTr="00A5780C">
        <w:trPr>
          <w:trHeight w:val="20"/>
          <w:jc w:val="right"/>
        </w:trPr>
        <w:tc>
          <w:tcPr>
            <w:tcW w:w="1870" w:type="pct"/>
            <w:tcBorders>
              <w:top w:val="single" w:sz="4" w:space="0" w:color="auto"/>
              <w:left w:val="nil"/>
              <w:right w:val="nil"/>
            </w:tcBorders>
            <w:shd w:val="clear" w:color="auto" w:fill="auto"/>
            <w:noWrap/>
          </w:tcPr>
          <w:p w14:paraId="57CEEC9A" w14:textId="77777777" w:rsidR="001E3C51" w:rsidRPr="001E3C51" w:rsidRDefault="001E3C51" w:rsidP="001E3C51">
            <w:pPr>
              <w:widowControl/>
              <w:autoSpaceDE/>
              <w:autoSpaceDN/>
              <w:ind w:leftChars="-3" w:left="-7"/>
              <w:rPr>
                <w:rFonts w:ascii="Arial" w:eastAsia="Times New Roman" w:hAnsi="Arial" w:cs="Arial"/>
                <w:sz w:val="20"/>
                <w:szCs w:val="20"/>
                <w:lang w:val="en-CA"/>
              </w:rPr>
            </w:pPr>
            <w:r w:rsidRPr="001E3C51">
              <w:rPr>
                <w:rFonts w:ascii="Arial" w:eastAsia="Times New Roman" w:hAnsi="Arial" w:cs="Arial"/>
                <w:sz w:val="20"/>
                <w:szCs w:val="20"/>
              </w:rPr>
              <w:t>Total related party transactions</w:t>
            </w:r>
          </w:p>
        </w:tc>
        <w:tc>
          <w:tcPr>
            <w:tcW w:w="731" w:type="pct"/>
            <w:gridSpan w:val="2"/>
            <w:tcBorders>
              <w:top w:val="single" w:sz="4" w:space="0" w:color="auto"/>
              <w:left w:val="nil"/>
              <w:right w:val="nil"/>
            </w:tcBorders>
          </w:tcPr>
          <w:p w14:paraId="3857AFA1" w14:textId="77777777" w:rsidR="001E3C51" w:rsidRPr="001E3C51" w:rsidRDefault="001E3C51" w:rsidP="001E3C51">
            <w:pPr>
              <w:widowControl/>
              <w:autoSpaceDE/>
              <w:autoSpaceDN/>
              <w:jc w:val="right"/>
              <w:rPr>
                <w:rFonts w:ascii="Arial" w:eastAsia="Times New Roman" w:hAnsi="Arial" w:cs="Arial"/>
                <w:bCs/>
                <w:sz w:val="20"/>
                <w:szCs w:val="20"/>
                <w:highlight w:val="yellow"/>
              </w:rPr>
            </w:pPr>
          </w:p>
        </w:tc>
        <w:tc>
          <w:tcPr>
            <w:tcW w:w="774" w:type="pct"/>
            <w:gridSpan w:val="2"/>
            <w:tcBorders>
              <w:top w:val="single" w:sz="4" w:space="0" w:color="auto"/>
              <w:left w:val="nil"/>
              <w:right w:val="nil"/>
            </w:tcBorders>
          </w:tcPr>
          <w:p w14:paraId="16F98B9B" w14:textId="77777777" w:rsidR="001E3C51" w:rsidRPr="001E3C51" w:rsidRDefault="001E3C51" w:rsidP="001E3C51">
            <w:pPr>
              <w:widowControl/>
              <w:autoSpaceDE/>
              <w:autoSpaceDN/>
              <w:jc w:val="right"/>
              <w:rPr>
                <w:rFonts w:ascii="Arial" w:eastAsia="Times New Roman" w:hAnsi="Arial" w:cs="Arial"/>
                <w:bCs/>
                <w:sz w:val="20"/>
                <w:szCs w:val="20"/>
              </w:rPr>
            </w:pPr>
          </w:p>
        </w:tc>
        <w:tc>
          <w:tcPr>
            <w:tcW w:w="804" w:type="pct"/>
            <w:gridSpan w:val="2"/>
            <w:tcBorders>
              <w:top w:val="single" w:sz="4" w:space="0" w:color="auto"/>
              <w:left w:val="nil"/>
              <w:right w:val="nil"/>
            </w:tcBorders>
            <w:shd w:val="clear" w:color="auto" w:fill="auto"/>
            <w:noWrap/>
          </w:tcPr>
          <w:p w14:paraId="7E6D8429" w14:textId="77777777" w:rsidR="001E3C51" w:rsidRPr="001E3C51" w:rsidRDefault="001E3C51" w:rsidP="001E3C51">
            <w:pPr>
              <w:widowControl/>
              <w:autoSpaceDE/>
              <w:autoSpaceDN/>
              <w:jc w:val="right"/>
              <w:rPr>
                <w:rFonts w:ascii="Arial" w:eastAsia="Times New Roman" w:hAnsi="Arial" w:cs="Arial"/>
                <w:bCs/>
                <w:sz w:val="20"/>
                <w:szCs w:val="20"/>
              </w:rPr>
            </w:pPr>
            <w:r w:rsidRPr="001E3C51">
              <w:rPr>
                <w:rFonts w:ascii="Arial" w:eastAsia="Times New Roman" w:hAnsi="Arial" w:cs="Arial"/>
                <w:bCs/>
                <w:sz w:val="20"/>
                <w:szCs w:val="20"/>
              </w:rPr>
              <w:t>1,345,770</w:t>
            </w:r>
          </w:p>
        </w:tc>
        <w:tc>
          <w:tcPr>
            <w:tcW w:w="821" w:type="pct"/>
            <w:tcBorders>
              <w:top w:val="single" w:sz="4" w:space="0" w:color="auto"/>
              <w:left w:val="nil"/>
              <w:right w:val="nil"/>
            </w:tcBorders>
            <w:shd w:val="clear" w:color="auto" w:fill="auto"/>
            <w:noWrap/>
          </w:tcPr>
          <w:p w14:paraId="4A740457" w14:textId="77777777" w:rsidR="001E3C51" w:rsidRPr="001E3C51" w:rsidRDefault="001E3C51" w:rsidP="001E3C51">
            <w:pPr>
              <w:widowControl/>
              <w:autoSpaceDE/>
              <w:autoSpaceDN/>
              <w:jc w:val="right"/>
              <w:rPr>
                <w:rFonts w:ascii="Arial" w:eastAsia="Times New Roman" w:hAnsi="Arial" w:cs="Arial"/>
                <w:bCs/>
                <w:sz w:val="20"/>
                <w:szCs w:val="20"/>
              </w:rPr>
            </w:pPr>
            <w:r w:rsidRPr="001E3C51">
              <w:rPr>
                <w:rFonts w:ascii="Arial" w:eastAsia="Times New Roman" w:hAnsi="Arial" w:cs="Arial"/>
                <w:bCs/>
                <w:sz w:val="20"/>
                <w:szCs w:val="20"/>
              </w:rPr>
              <w:t>1,754,294</w:t>
            </w:r>
          </w:p>
        </w:tc>
      </w:tr>
      <w:bookmarkEnd w:id="16"/>
      <w:tr w:rsidR="001E3C51" w:rsidRPr="001E3C51" w14:paraId="14E86392" w14:textId="77777777" w:rsidTr="00A5780C">
        <w:trPr>
          <w:trHeight w:hRule="exact" w:val="57"/>
          <w:jc w:val="right"/>
        </w:trPr>
        <w:tc>
          <w:tcPr>
            <w:tcW w:w="1870" w:type="pct"/>
            <w:tcBorders>
              <w:top w:val="single" w:sz="12" w:space="0" w:color="auto"/>
              <w:left w:val="nil"/>
              <w:right w:val="nil"/>
            </w:tcBorders>
            <w:shd w:val="clear" w:color="auto" w:fill="auto"/>
            <w:noWrap/>
            <w:vAlign w:val="bottom"/>
          </w:tcPr>
          <w:p w14:paraId="65FFE287" w14:textId="77777777" w:rsidR="001E3C51" w:rsidRPr="001E3C51" w:rsidRDefault="001E3C51" w:rsidP="001E3C51">
            <w:pPr>
              <w:widowControl/>
              <w:autoSpaceDE/>
              <w:autoSpaceDN/>
              <w:ind w:leftChars="-47" w:left="-97" w:hangingChars="3" w:hanging="6"/>
              <w:rPr>
                <w:rFonts w:ascii="Arial" w:eastAsia="Times New Roman" w:hAnsi="Arial" w:cs="Arial"/>
                <w:sz w:val="20"/>
                <w:szCs w:val="20"/>
              </w:rPr>
            </w:pPr>
          </w:p>
        </w:tc>
        <w:tc>
          <w:tcPr>
            <w:tcW w:w="509" w:type="pct"/>
            <w:tcBorders>
              <w:top w:val="single" w:sz="12" w:space="0" w:color="auto"/>
              <w:left w:val="nil"/>
              <w:right w:val="nil"/>
            </w:tcBorders>
          </w:tcPr>
          <w:p w14:paraId="24A24CB5" w14:textId="77777777" w:rsidR="001E3C51" w:rsidRPr="001E3C51" w:rsidRDefault="001E3C51" w:rsidP="001E3C51">
            <w:pPr>
              <w:widowControl/>
              <w:autoSpaceDE/>
              <w:autoSpaceDN/>
              <w:ind w:firstLineChars="200" w:firstLine="400"/>
              <w:jc w:val="right"/>
              <w:rPr>
                <w:rFonts w:ascii="Arial" w:eastAsia="Times New Roman" w:hAnsi="Arial" w:cs="Arial"/>
                <w:bCs/>
                <w:sz w:val="20"/>
                <w:szCs w:val="20"/>
              </w:rPr>
            </w:pPr>
          </w:p>
        </w:tc>
        <w:tc>
          <w:tcPr>
            <w:tcW w:w="727" w:type="pct"/>
            <w:gridSpan w:val="2"/>
            <w:tcBorders>
              <w:top w:val="single" w:sz="12" w:space="0" w:color="auto"/>
              <w:left w:val="nil"/>
              <w:right w:val="nil"/>
            </w:tcBorders>
          </w:tcPr>
          <w:p w14:paraId="0165724E" w14:textId="77777777" w:rsidR="001E3C51" w:rsidRPr="001E3C51" w:rsidRDefault="001E3C51" w:rsidP="001E3C51">
            <w:pPr>
              <w:widowControl/>
              <w:autoSpaceDE/>
              <w:autoSpaceDN/>
              <w:ind w:firstLineChars="200" w:firstLine="400"/>
              <w:jc w:val="right"/>
              <w:rPr>
                <w:rFonts w:ascii="Arial" w:eastAsia="Times New Roman" w:hAnsi="Arial" w:cs="Arial"/>
                <w:bCs/>
                <w:sz w:val="20"/>
                <w:szCs w:val="20"/>
              </w:rPr>
            </w:pPr>
          </w:p>
        </w:tc>
        <w:tc>
          <w:tcPr>
            <w:tcW w:w="875" w:type="pct"/>
            <w:gridSpan w:val="2"/>
            <w:tcBorders>
              <w:top w:val="single" w:sz="12" w:space="0" w:color="auto"/>
              <w:left w:val="nil"/>
              <w:right w:val="nil"/>
            </w:tcBorders>
            <w:shd w:val="clear" w:color="auto" w:fill="auto"/>
            <w:noWrap/>
          </w:tcPr>
          <w:p w14:paraId="2BDED6CE" w14:textId="77777777" w:rsidR="001E3C51" w:rsidRPr="001E3C51" w:rsidRDefault="001E3C51" w:rsidP="001E3C51">
            <w:pPr>
              <w:widowControl/>
              <w:autoSpaceDE/>
              <w:autoSpaceDN/>
              <w:ind w:firstLineChars="200" w:firstLine="400"/>
              <w:jc w:val="right"/>
              <w:rPr>
                <w:rFonts w:ascii="Arial" w:eastAsia="Times New Roman" w:hAnsi="Arial" w:cs="Arial"/>
                <w:bCs/>
                <w:sz w:val="20"/>
                <w:szCs w:val="20"/>
                <w:highlight w:val="yellow"/>
              </w:rPr>
            </w:pPr>
          </w:p>
        </w:tc>
        <w:tc>
          <w:tcPr>
            <w:tcW w:w="1019" w:type="pct"/>
            <w:gridSpan w:val="2"/>
            <w:tcBorders>
              <w:top w:val="single" w:sz="12" w:space="0" w:color="auto"/>
              <w:left w:val="nil"/>
              <w:right w:val="nil"/>
            </w:tcBorders>
            <w:shd w:val="clear" w:color="auto" w:fill="auto"/>
            <w:noWrap/>
          </w:tcPr>
          <w:p w14:paraId="1EE366B8" w14:textId="77777777" w:rsidR="001E3C51" w:rsidRPr="001E3C51" w:rsidRDefault="001E3C51" w:rsidP="001E3C51">
            <w:pPr>
              <w:widowControl/>
              <w:autoSpaceDE/>
              <w:autoSpaceDN/>
              <w:ind w:firstLineChars="200" w:firstLine="400"/>
              <w:jc w:val="right"/>
              <w:rPr>
                <w:rFonts w:ascii="Arial" w:eastAsia="Times New Roman" w:hAnsi="Arial" w:cs="Arial"/>
                <w:bCs/>
                <w:sz w:val="20"/>
                <w:szCs w:val="20"/>
                <w:highlight w:val="yellow"/>
              </w:rPr>
            </w:pPr>
          </w:p>
        </w:tc>
      </w:tr>
    </w:tbl>
    <w:bookmarkEnd w:id="17"/>
    <w:p w14:paraId="54AACFAB" w14:textId="77777777" w:rsidR="00B37735" w:rsidRPr="00A5780C" w:rsidRDefault="00B37735" w:rsidP="00B37735">
      <w:pPr>
        <w:widowControl/>
        <w:numPr>
          <w:ilvl w:val="0"/>
          <w:numId w:val="27"/>
        </w:numPr>
        <w:tabs>
          <w:tab w:val="left" w:pos="284"/>
        </w:tabs>
        <w:autoSpaceDE/>
        <w:autoSpaceDN/>
        <w:ind w:left="289" w:hanging="289"/>
        <w:jc w:val="both"/>
        <w:outlineLvl w:val="1"/>
        <w:rPr>
          <w:rFonts w:ascii="Arial" w:eastAsia="Calibri" w:hAnsi="Arial" w:cs="Arial"/>
          <w:sz w:val="18"/>
          <w:szCs w:val="18"/>
          <w:lang w:val="en-CA"/>
        </w:rPr>
      </w:pPr>
      <w:r w:rsidRPr="00A5780C">
        <w:rPr>
          <w:rFonts w:ascii="Arial" w:eastAsia="Calibri" w:hAnsi="Arial" w:cs="Arial"/>
          <w:sz w:val="18"/>
          <w:szCs w:val="18"/>
          <w:lang w:val="en-CA"/>
        </w:rPr>
        <w:t xml:space="preserve">A Director of the Company has a 50% ownership in a company that owns the land and building and leases the premises to our Atlas location. </w:t>
      </w:r>
    </w:p>
    <w:p w14:paraId="2C8A0B80" w14:textId="41DBCA82" w:rsidR="00075A50" w:rsidRDefault="00075A50" w:rsidP="008558DE">
      <w:pPr>
        <w:rPr>
          <w:rFonts w:ascii="Arial" w:hAnsi="Arial" w:cs="Arial"/>
          <w:sz w:val="20"/>
          <w:szCs w:val="20"/>
          <w:lang w:val="en-GB"/>
        </w:rPr>
      </w:pPr>
    </w:p>
    <w:p w14:paraId="27F4A755" w14:textId="6FC43401" w:rsidR="004D618E" w:rsidRDefault="004D618E" w:rsidP="008558DE">
      <w:pPr>
        <w:rPr>
          <w:rFonts w:ascii="Arial" w:hAnsi="Arial" w:cs="Arial"/>
          <w:sz w:val="20"/>
          <w:szCs w:val="20"/>
          <w:lang w:val="en-GB"/>
        </w:rPr>
      </w:pPr>
    </w:p>
    <w:p w14:paraId="550BF92E" w14:textId="47634C6D" w:rsidR="004D618E" w:rsidRDefault="004D618E" w:rsidP="008558DE">
      <w:pPr>
        <w:rPr>
          <w:rFonts w:ascii="Arial" w:hAnsi="Arial" w:cs="Arial"/>
          <w:sz w:val="20"/>
          <w:szCs w:val="20"/>
          <w:lang w:val="en-GB"/>
        </w:rPr>
      </w:pPr>
    </w:p>
    <w:p w14:paraId="4777CEF5" w14:textId="5A4B7348" w:rsidR="004D618E" w:rsidRDefault="004D618E" w:rsidP="008558DE">
      <w:pPr>
        <w:rPr>
          <w:rFonts w:ascii="Arial" w:hAnsi="Arial" w:cs="Arial"/>
          <w:sz w:val="20"/>
          <w:szCs w:val="20"/>
          <w:lang w:val="en-GB"/>
        </w:rPr>
      </w:pPr>
    </w:p>
    <w:p w14:paraId="1B9268AD" w14:textId="5AC66E51" w:rsidR="004D618E" w:rsidRDefault="004D618E" w:rsidP="008558DE">
      <w:pPr>
        <w:rPr>
          <w:rFonts w:ascii="Arial" w:hAnsi="Arial" w:cs="Arial"/>
          <w:sz w:val="20"/>
          <w:szCs w:val="20"/>
          <w:lang w:val="en-GB"/>
        </w:rPr>
      </w:pPr>
    </w:p>
    <w:p w14:paraId="0982FF7B" w14:textId="018FD44D" w:rsidR="004D618E" w:rsidRDefault="004D618E" w:rsidP="008558DE">
      <w:pPr>
        <w:rPr>
          <w:rFonts w:ascii="Arial" w:hAnsi="Arial" w:cs="Arial"/>
          <w:sz w:val="20"/>
          <w:szCs w:val="20"/>
          <w:lang w:val="en-GB"/>
        </w:rPr>
      </w:pPr>
    </w:p>
    <w:p w14:paraId="05D02D72" w14:textId="77777777" w:rsidR="004D618E" w:rsidRPr="00D20F46" w:rsidRDefault="004D618E" w:rsidP="008558DE">
      <w:pPr>
        <w:rPr>
          <w:rFonts w:ascii="Arial" w:hAnsi="Arial" w:cs="Arial"/>
          <w:sz w:val="20"/>
          <w:szCs w:val="20"/>
          <w:lang w:val="en-GB"/>
        </w:rPr>
      </w:pPr>
    </w:p>
    <w:p w14:paraId="35031BE0" w14:textId="77777777" w:rsidR="00075A50" w:rsidRPr="00D20F46" w:rsidRDefault="00075A50" w:rsidP="00075A50">
      <w:pPr>
        <w:widowControl/>
        <w:autoSpaceDE/>
        <w:autoSpaceDN/>
        <w:rPr>
          <w:rFonts w:ascii="Arial" w:eastAsia="Times New Roman" w:hAnsi="Arial" w:cs="Arial"/>
          <w:sz w:val="20"/>
          <w:lang w:val="en-GB"/>
        </w:rPr>
      </w:pPr>
      <w:r w:rsidRPr="00D20F46">
        <w:rPr>
          <w:rFonts w:ascii="Arial" w:eastAsia="Times New Roman" w:hAnsi="Arial" w:cs="Arial"/>
          <w:sz w:val="20"/>
          <w:lang w:val="en-GB"/>
        </w:rPr>
        <w:lastRenderedPageBreak/>
        <w:t>Amounts due from/to related parties are detailed as follows:</w:t>
      </w:r>
    </w:p>
    <w:p w14:paraId="486B2A7B" w14:textId="77777777" w:rsidR="00A5780C" w:rsidRPr="00A5780C" w:rsidRDefault="00A5780C" w:rsidP="00A5780C">
      <w:pPr>
        <w:widowControl/>
        <w:autoSpaceDE/>
        <w:autoSpaceDN/>
        <w:jc w:val="both"/>
        <w:rPr>
          <w:rFonts w:ascii="Arial" w:eastAsia="Times New Roman" w:hAnsi="Arial" w:cs="Arial"/>
          <w:b/>
          <w:sz w:val="16"/>
          <w:szCs w:val="16"/>
          <w:lang w:val="en-CA"/>
        </w:rPr>
      </w:pPr>
      <w:bookmarkStart w:id="18" w:name="_Hlk68728733"/>
    </w:p>
    <w:tbl>
      <w:tblPr>
        <w:tblW w:w="5000" w:type="pct"/>
        <w:jc w:val="right"/>
        <w:tblLayout w:type="fixed"/>
        <w:tblLook w:val="04A0" w:firstRow="1" w:lastRow="0" w:firstColumn="1" w:lastColumn="0" w:noHBand="0" w:noVBand="1"/>
      </w:tblPr>
      <w:tblGrid>
        <w:gridCol w:w="6236"/>
        <w:gridCol w:w="1702"/>
        <w:gridCol w:w="1537"/>
      </w:tblGrid>
      <w:tr w:rsidR="00A5780C" w:rsidRPr="00A5780C" w14:paraId="00B9F89C" w14:textId="77777777" w:rsidTr="00A5780C">
        <w:trPr>
          <w:trHeight w:val="20"/>
          <w:jc w:val="right"/>
        </w:trPr>
        <w:tc>
          <w:tcPr>
            <w:tcW w:w="3291" w:type="pct"/>
            <w:tcBorders>
              <w:top w:val="single" w:sz="6" w:space="0" w:color="auto"/>
              <w:left w:val="nil"/>
              <w:bottom w:val="single" w:sz="4" w:space="0" w:color="auto"/>
              <w:right w:val="nil"/>
            </w:tcBorders>
            <w:shd w:val="clear" w:color="auto" w:fill="auto"/>
            <w:noWrap/>
            <w:vAlign w:val="bottom"/>
            <w:hideMark/>
          </w:tcPr>
          <w:p w14:paraId="52497FBB" w14:textId="77777777" w:rsidR="00A5780C" w:rsidRPr="00A5780C" w:rsidRDefault="00A5780C" w:rsidP="00A5780C">
            <w:pPr>
              <w:widowControl/>
              <w:autoSpaceDE/>
              <w:autoSpaceDN/>
              <w:rPr>
                <w:rFonts w:ascii="Arial" w:eastAsia="Times New Roman" w:hAnsi="Arial" w:cs="Arial"/>
                <w:sz w:val="20"/>
                <w:szCs w:val="20"/>
              </w:rPr>
            </w:pPr>
          </w:p>
        </w:tc>
        <w:tc>
          <w:tcPr>
            <w:tcW w:w="898" w:type="pct"/>
            <w:tcBorders>
              <w:top w:val="single" w:sz="6" w:space="0" w:color="auto"/>
              <w:left w:val="nil"/>
              <w:bottom w:val="single" w:sz="4" w:space="0" w:color="auto"/>
              <w:right w:val="nil"/>
            </w:tcBorders>
            <w:shd w:val="clear" w:color="auto" w:fill="auto"/>
            <w:noWrap/>
            <w:vAlign w:val="bottom"/>
            <w:hideMark/>
          </w:tcPr>
          <w:p w14:paraId="68B61AF9" w14:textId="77777777" w:rsidR="00A5780C" w:rsidRPr="00A5780C" w:rsidRDefault="00A5780C" w:rsidP="00A5780C">
            <w:pPr>
              <w:widowControl/>
              <w:autoSpaceDE/>
              <w:autoSpaceDN/>
              <w:jc w:val="right"/>
              <w:rPr>
                <w:rFonts w:ascii="Arial" w:eastAsia="Times New Roman" w:hAnsi="Arial" w:cs="Arial"/>
                <w:b/>
                <w:bCs/>
                <w:sz w:val="20"/>
                <w:szCs w:val="20"/>
              </w:rPr>
            </w:pPr>
            <w:r w:rsidRPr="00A5780C">
              <w:rPr>
                <w:rFonts w:ascii="Arial" w:eastAsia="Times New Roman" w:hAnsi="Arial" w:cs="Arial"/>
                <w:b/>
                <w:bCs/>
                <w:sz w:val="20"/>
                <w:szCs w:val="20"/>
              </w:rPr>
              <w:t>December 31,</w:t>
            </w:r>
          </w:p>
          <w:p w14:paraId="2D35ADD5" w14:textId="77777777" w:rsidR="00A5780C" w:rsidRPr="00A5780C" w:rsidRDefault="00A5780C" w:rsidP="00A5780C">
            <w:pPr>
              <w:widowControl/>
              <w:autoSpaceDE/>
              <w:autoSpaceDN/>
              <w:jc w:val="right"/>
              <w:rPr>
                <w:rFonts w:ascii="Arial" w:eastAsia="Times New Roman" w:hAnsi="Arial" w:cs="Arial"/>
                <w:b/>
                <w:bCs/>
                <w:sz w:val="20"/>
                <w:szCs w:val="20"/>
              </w:rPr>
            </w:pPr>
            <w:r w:rsidRPr="00A5780C">
              <w:rPr>
                <w:rFonts w:ascii="Arial" w:eastAsia="Times New Roman" w:hAnsi="Arial" w:cs="Arial"/>
                <w:b/>
                <w:bCs/>
                <w:sz w:val="20"/>
                <w:szCs w:val="20"/>
              </w:rPr>
              <w:t>2021</w:t>
            </w:r>
          </w:p>
        </w:tc>
        <w:tc>
          <w:tcPr>
            <w:tcW w:w="811" w:type="pct"/>
            <w:tcBorders>
              <w:top w:val="single" w:sz="6" w:space="0" w:color="auto"/>
              <w:left w:val="nil"/>
              <w:bottom w:val="single" w:sz="4" w:space="0" w:color="auto"/>
              <w:right w:val="nil"/>
            </w:tcBorders>
            <w:vAlign w:val="bottom"/>
          </w:tcPr>
          <w:p w14:paraId="7F5A8304" w14:textId="77777777" w:rsidR="00A5780C" w:rsidRPr="00A5780C" w:rsidRDefault="00A5780C" w:rsidP="00A5780C">
            <w:pPr>
              <w:widowControl/>
              <w:autoSpaceDE/>
              <w:autoSpaceDN/>
              <w:jc w:val="right"/>
              <w:rPr>
                <w:rFonts w:ascii="Arial" w:eastAsia="Times New Roman" w:hAnsi="Arial" w:cs="Arial"/>
                <w:b/>
                <w:bCs/>
                <w:sz w:val="20"/>
                <w:szCs w:val="20"/>
              </w:rPr>
            </w:pPr>
            <w:r w:rsidRPr="00A5780C">
              <w:rPr>
                <w:rFonts w:ascii="Arial" w:eastAsia="Times New Roman" w:hAnsi="Arial" w:cs="Arial"/>
                <w:b/>
                <w:bCs/>
                <w:sz w:val="20"/>
                <w:szCs w:val="20"/>
              </w:rPr>
              <w:t>December 31,</w:t>
            </w:r>
          </w:p>
          <w:p w14:paraId="4E612AF6" w14:textId="77777777" w:rsidR="00A5780C" w:rsidRPr="00A5780C" w:rsidRDefault="00A5780C" w:rsidP="00A5780C">
            <w:pPr>
              <w:widowControl/>
              <w:autoSpaceDE/>
              <w:autoSpaceDN/>
              <w:jc w:val="right"/>
              <w:rPr>
                <w:rFonts w:ascii="Arial" w:eastAsia="Times New Roman" w:hAnsi="Arial" w:cs="Arial"/>
                <w:b/>
                <w:bCs/>
                <w:sz w:val="20"/>
                <w:szCs w:val="20"/>
              </w:rPr>
            </w:pPr>
            <w:r w:rsidRPr="00A5780C">
              <w:rPr>
                <w:rFonts w:ascii="Arial" w:eastAsia="Times New Roman" w:hAnsi="Arial" w:cs="Arial"/>
                <w:b/>
                <w:bCs/>
                <w:sz w:val="20"/>
                <w:szCs w:val="20"/>
              </w:rPr>
              <w:t>2020</w:t>
            </w:r>
          </w:p>
        </w:tc>
      </w:tr>
      <w:tr w:rsidR="00A5780C" w:rsidRPr="00A5780C" w14:paraId="1143E6F9" w14:textId="77777777" w:rsidTr="00A5780C">
        <w:trPr>
          <w:trHeight w:val="20"/>
          <w:jc w:val="right"/>
        </w:trPr>
        <w:tc>
          <w:tcPr>
            <w:tcW w:w="3291" w:type="pct"/>
            <w:tcBorders>
              <w:top w:val="single" w:sz="4" w:space="0" w:color="auto"/>
              <w:left w:val="nil"/>
              <w:right w:val="nil"/>
            </w:tcBorders>
            <w:shd w:val="clear" w:color="auto" w:fill="auto"/>
            <w:noWrap/>
            <w:vAlign w:val="bottom"/>
            <w:hideMark/>
          </w:tcPr>
          <w:p w14:paraId="798338F5" w14:textId="77777777" w:rsidR="00A5780C" w:rsidRPr="00A5780C" w:rsidRDefault="00A5780C" w:rsidP="00A5780C">
            <w:pPr>
              <w:widowControl/>
              <w:autoSpaceDE/>
              <w:autoSpaceDN/>
              <w:rPr>
                <w:rFonts w:ascii="Arial" w:eastAsia="Times New Roman" w:hAnsi="Arial" w:cs="Arial"/>
                <w:sz w:val="20"/>
                <w:szCs w:val="20"/>
              </w:rPr>
            </w:pPr>
          </w:p>
        </w:tc>
        <w:tc>
          <w:tcPr>
            <w:tcW w:w="898" w:type="pct"/>
            <w:tcBorders>
              <w:top w:val="single" w:sz="4" w:space="0" w:color="auto"/>
              <w:left w:val="nil"/>
              <w:right w:val="nil"/>
            </w:tcBorders>
            <w:shd w:val="clear" w:color="auto" w:fill="auto"/>
            <w:noWrap/>
            <w:vAlign w:val="bottom"/>
            <w:hideMark/>
          </w:tcPr>
          <w:p w14:paraId="3A2D095D" w14:textId="77777777" w:rsidR="00A5780C" w:rsidRPr="00A5780C" w:rsidRDefault="00A5780C" w:rsidP="00A5780C">
            <w:pPr>
              <w:widowControl/>
              <w:autoSpaceDE/>
              <w:autoSpaceDN/>
              <w:jc w:val="right"/>
              <w:rPr>
                <w:rFonts w:ascii="Arial" w:eastAsia="Times New Roman" w:hAnsi="Arial" w:cs="Arial"/>
                <w:b/>
                <w:bCs/>
                <w:sz w:val="20"/>
                <w:szCs w:val="20"/>
              </w:rPr>
            </w:pPr>
            <w:r w:rsidRPr="00A5780C">
              <w:rPr>
                <w:rFonts w:ascii="Arial" w:eastAsia="Times New Roman" w:hAnsi="Arial" w:cs="Arial"/>
                <w:b/>
                <w:bCs/>
                <w:sz w:val="20"/>
                <w:szCs w:val="20"/>
              </w:rPr>
              <w:t xml:space="preserve"> $ </w:t>
            </w:r>
          </w:p>
        </w:tc>
        <w:tc>
          <w:tcPr>
            <w:tcW w:w="811" w:type="pct"/>
            <w:tcBorders>
              <w:top w:val="single" w:sz="4" w:space="0" w:color="auto"/>
              <w:left w:val="nil"/>
              <w:right w:val="nil"/>
            </w:tcBorders>
            <w:vAlign w:val="bottom"/>
          </w:tcPr>
          <w:p w14:paraId="6CCD0BA0" w14:textId="77777777" w:rsidR="00A5780C" w:rsidRPr="00A5780C" w:rsidRDefault="00A5780C" w:rsidP="00A5780C">
            <w:pPr>
              <w:widowControl/>
              <w:autoSpaceDE/>
              <w:autoSpaceDN/>
              <w:jc w:val="right"/>
              <w:rPr>
                <w:rFonts w:ascii="Arial" w:eastAsia="Times New Roman" w:hAnsi="Arial" w:cs="Arial"/>
                <w:b/>
                <w:bCs/>
                <w:sz w:val="20"/>
                <w:szCs w:val="20"/>
              </w:rPr>
            </w:pPr>
            <w:r w:rsidRPr="00A5780C">
              <w:rPr>
                <w:rFonts w:ascii="Arial" w:eastAsia="Times New Roman" w:hAnsi="Arial" w:cs="Arial"/>
                <w:b/>
                <w:bCs/>
                <w:sz w:val="20"/>
                <w:szCs w:val="20"/>
              </w:rPr>
              <w:t xml:space="preserve"> $ </w:t>
            </w:r>
          </w:p>
        </w:tc>
      </w:tr>
      <w:tr w:rsidR="00A5780C" w:rsidRPr="00A5780C" w14:paraId="7553EB04" w14:textId="77777777" w:rsidTr="00A5780C">
        <w:trPr>
          <w:trHeight w:val="20"/>
          <w:jc w:val="right"/>
        </w:trPr>
        <w:tc>
          <w:tcPr>
            <w:tcW w:w="3291" w:type="pct"/>
            <w:tcBorders>
              <w:left w:val="nil"/>
              <w:bottom w:val="nil"/>
              <w:right w:val="nil"/>
            </w:tcBorders>
            <w:shd w:val="clear" w:color="auto" w:fill="auto"/>
            <w:noWrap/>
            <w:vAlign w:val="bottom"/>
          </w:tcPr>
          <w:p w14:paraId="75009D05" w14:textId="77777777" w:rsidR="00A5780C" w:rsidRPr="00A5780C" w:rsidRDefault="00A5780C" w:rsidP="00A5780C">
            <w:pPr>
              <w:widowControl/>
              <w:autoSpaceDE/>
              <w:autoSpaceDN/>
              <w:ind w:hanging="105"/>
              <w:rPr>
                <w:rFonts w:ascii="Arial" w:eastAsia="Times New Roman" w:hAnsi="Arial" w:cs="Arial"/>
                <w:b/>
                <w:sz w:val="20"/>
                <w:szCs w:val="20"/>
              </w:rPr>
            </w:pPr>
            <w:r w:rsidRPr="00A5780C">
              <w:rPr>
                <w:rFonts w:ascii="Arial" w:eastAsia="Times New Roman" w:hAnsi="Arial" w:cs="Arial"/>
                <w:b/>
                <w:sz w:val="20"/>
                <w:szCs w:val="20"/>
              </w:rPr>
              <w:t>Due from related party</w:t>
            </w:r>
          </w:p>
        </w:tc>
        <w:tc>
          <w:tcPr>
            <w:tcW w:w="898" w:type="pct"/>
            <w:tcBorders>
              <w:left w:val="nil"/>
              <w:bottom w:val="nil"/>
              <w:right w:val="nil"/>
            </w:tcBorders>
            <w:shd w:val="clear" w:color="auto" w:fill="auto"/>
            <w:noWrap/>
            <w:vAlign w:val="bottom"/>
          </w:tcPr>
          <w:p w14:paraId="3394BC5B" w14:textId="77777777" w:rsidR="00A5780C" w:rsidRPr="00A5780C" w:rsidRDefault="00A5780C" w:rsidP="00A5780C">
            <w:pPr>
              <w:widowControl/>
              <w:autoSpaceDE/>
              <w:autoSpaceDN/>
              <w:ind w:firstLineChars="200" w:firstLine="400"/>
              <w:jc w:val="right"/>
              <w:rPr>
                <w:rFonts w:ascii="Arial" w:eastAsia="Times New Roman" w:hAnsi="Arial" w:cs="Arial"/>
                <w:sz w:val="20"/>
                <w:szCs w:val="20"/>
                <w:highlight w:val="yellow"/>
                <w:lang w:val="en-CA"/>
              </w:rPr>
            </w:pPr>
          </w:p>
        </w:tc>
        <w:tc>
          <w:tcPr>
            <w:tcW w:w="811" w:type="pct"/>
            <w:tcBorders>
              <w:left w:val="nil"/>
              <w:bottom w:val="nil"/>
              <w:right w:val="nil"/>
            </w:tcBorders>
            <w:vAlign w:val="bottom"/>
          </w:tcPr>
          <w:p w14:paraId="6C0ACC7E" w14:textId="77777777" w:rsidR="00A5780C" w:rsidRPr="00A5780C" w:rsidRDefault="00A5780C" w:rsidP="00A5780C">
            <w:pPr>
              <w:widowControl/>
              <w:autoSpaceDE/>
              <w:autoSpaceDN/>
              <w:ind w:firstLineChars="200" w:firstLine="400"/>
              <w:jc w:val="right"/>
              <w:rPr>
                <w:rFonts w:ascii="Arial" w:eastAsia="Times New Roman" w:hAnsi="Arial" w:cs="Arial"/>
                <w:sz w:val="20"/>
                <w:szCs w:val="20"/>
                <w:lang w:val="en-CA"/>
              </w:rPr>
            </w:pPr>
          </w:p>
        </w:tc>
      </w:tr>
      <w:tr w:rsidR="00A5780C" w:rsidRPr="00A5780C" w14:paraId="49406FBD" w14:textId="77777777" w:rsidTr="00A5780C">
        <w:trPr>
          <w:trHeight w:val="20"/>
          <w:jc w:val="right"/>
        </w:trPr>
        <w:tc>
          <w:tcPr>
            <w:tcW w:w="3291" w:type="pct"/>
            <w:tcBorders>
              <w:left w:val="nil"/>
              <w:bottom w:val="nil"/>
              <w:right w:val="nil"/>
            </w:tcBorders>
            <w:shd w:val="clear" w:color="auto" w:fill="auto"/>
            <w:noWrap/>
            <w:vAlign w:val="bottom"/>
          </w:tcPr>
          <w:p w14:paraId="2F6BF25D" w14:textId="77777777" w:rsidR="00A5780C" w:rsidRPr="00A5780C" w:rsidRDefault="00A5780C" w:rsidP="00A5780C">
            <w:pPr>
              <w:widowControl/>
              <w:autoSpaceDE/>
              <w:autoSpaceDN/>
              <w:ind w:hanging="105"/>
              <w:rPr>
                <w:rFonts w:ascii="Arial" w:eastAsia="Times New Roman" w:hAnsi="Arial" w:cs="Arial"/>
                <w:sz w:val="20"/>
                <w:szCs w:val="20"/>
              </w:rPr>
            </w:pPr>
            <w:r w:rsidRPr="00A5780C">
              <w:rPr>
                <w:rFonts w:ascii="Arial" w:eastAsia="Times New Roman" w:hAnsi="Arial" w:cs="Arial"/>
                <w:sz w:val="20"/>
                <w:szCs w:val="20"/>
              </w:rPr>
              <w:t>Accounts receivable</w:t>
            </w:r>
          </w:p>
        </w:tc>
        <w:tc>
          <w:tcPr>
            <w:tcW w:w="898" w:type="pct"/>
            <w:tcBorders>
              <w:left w:val="nil"/>
              <w:bottom w:val="nil"/>
              <w:right w:val="nil"/>
            </w:tcBorders>
            <w:shd w:val="clear" w:color="auto" w:fill="auto"/>
            <w:noWrap/>
            <w:vAlign w:val="bottom"/>
          </w:tcPr>
          <w:p w14:paraId="5B3DA1A4" w14:textId="77777777" w:rsidR="00A5780C" w:rsidRPr="00A5780C" w:rsidRDefault="00A5780C" w:rsidP="00A5780C">
            <w:pPr>
              <w:widowControl/>
              <w:autoSpaceDE/>
              <w:autoSpaceDN/>
              <w:ind w:firstLineChars="200" w:firstLine="400"/>
              <w:jc w:val="right"/>
              <w:rPr>
                <w:rFonts w:ascii="Arial" w:eastAsia="Times New Roman" w:hAnsi="Arial" w:cs="Arial"/>
                <w:sz w:val="20"/>
                <w:szCs w:val="20"/>
                <w:lang w:val="en-CA"/>
              </w:rPr>
            </w:pPr>
            <w:r w:rsidRPr="00A5780C">
              <w:rPr>
                <w:rFonts w:ascii="Arial" w:eastAsia="Times New Roman" w:hAnsi="Arial" w:cs="Arial"/>
                <w:sz w:val="20"/>
                <w:szCs w:val="20"/>
                <w:lang w:val="en-CA"/>
              </w:rPr>
              <w:t>-</w:t>
            </w:r>
          </w:p>
        </w:tc>
        <w:tc>
          <w:tcPr>
            <w:tcW w:w="811" w:type="pct"/>
            <w:tcBorders>
              <w:left w:val="nil"/>
              <w:bottom w:val="nil"/>
              <w:right w:val="nil"/>
            </w:tcBorders>
            <w:shd w:val="clear" w:color="auto" w:fill="auto"/>
            <w:vAlign w:val="bottom"/>
          </w:tcPr>
          <w:p w14:paraId="666EF1D5" w14:textId="77777777" w:rsidR="00A5780C" w:rsidRPr="00A5780C" w:rsidRDefault="00A5780C" w:rsidP="00A5780C">
            <w:pPr>
              <w:widowControl/>
              <w:autoSpaceDE/>
              <w:autoSpaceDN/>
              <w:ind w:firstLineChars="200" w:firstLine="400"/>
              <w:jc w:val="right"/>
              <w:rPr>
                <w:rFonts w:ascii="Arial" w:eastAsia="Times New Roman" w:hAnsi="Arial" w:cs="Arial"/>
                <w:sz w:val="20"/>
                <w:szCs w:val="20"/>
                <w:lang w:val="en-CA"/>
              </w:rPr>
            </w:pPr>
            <w:r w:rsidRPr="00A5780C">
              <w:rPr>
                <w:rFonts w:ascii="Arial" w:eastAsia="Times New Roman" w:hAnsi="Arial" w:cs="Arial"/>
                <w:sz w:val="20"/>
                <w:szCs w:val="20"/>
                <w:lang w:val="en-CA"/>
              </w:rPr>
              <w:t>36,391</w:t>
            </w:r>
          </w:p>
        </w:tc>
      </w:tr>
      <w:tr w:rsidR="00A5780C" w:rsidRPr="00A5780C" w14:paraId="25776DF4" w14:textId="77777777" w:rsidTr="00A5780C">
        <w:trPr>
          <w:trHeight w:val="20"/>
          <w:jc w:val="right"/>
        </w:trPr>
        <w:tc>
          <w:tcPr>
            <w:tcW w:w="3291" w:type="pct"/>
            <w:tcBorders>
              <w:top w:val="single" w:sz="2" w:space="0" w:color="auto"/>
              <w:left w:val="nil"/>
              <w:bottom w:val="single" w:sz="4" w:space="0" w:color="auto"/>
              <w:right w:val="nil"/>
            </w:tcBorders>
            <w:shd w:val="clear" w:color="auto" w:fill="auto"/>
            <w:noWrap/>
            <w:vAlign w:val="bottom"/>
          </w:tcPr>
          <w:p w14:paraId="480B8D10" w14:textId="77777777" w:rsidR="00A5780C" w:rsidRPr="00A5780C" w:rsidRDefault="00A5780C" w:rsidP="00A5780C">
            <w:pPr>
              <w:widowControl/>
              <w:autoSpaceDE/>
              <w:autoSpaceDN/>
              <w:ind w:leftChars="-47" w:left="-97" w:hangingChars="3" w:hanging="6"/>
              <w:rPr>
                <w:rFonts w:ascii="Arial" w:eastAsia="Times New Roman" w:hAnsi="Arial" w:cs="Arial"/>
                <w:sz w:val="20"/>
                <w:szCs w:val="20"/>
              </w:rPr>
            </w:pPr>
            <w:r w:rsidRPr="00A5780C">
              <w:rPr>
                <w:rFonts w:ascii="Arial" w:eastAsia="Times New Roman" w:hAnsi="Arial" w:cs="Arial"/>
                <w:sz w:val="20"/>
                <w:szCs w:val="20"/>
              </w:rPr>
              <w:t>Total due from related party</w:t>
            </w:r>
          </w:p>
        </w:tc>
        <w:tc>
          <w:tcPr>
            <w:tcW w:w="898" w:type="pct"/>
            <w:tcBorders>
              <w:top w:val="single" w:sz="2" w:space="0" w:color="auto"/>
              <w:left w:val="nil"/>
              <w:bottom w:val="single" w:sz="4" w:space="0" w:color="auto"/>
              <w:right w:val="nil"/>
            </w:tcBorders>
            <w:shd w:val="clear" w:color="auto" w:fill="auto"/>
            <w:noWrap/>
            <w:vAlign w:val="bottom"/>
          </w:tcPr>
          <w:p w14:paraId="7E2F6BC3" w14:textId="77777777" w:rsidR="00A5780C" w:rsidRPr="00A5780C" w:rsidRDefault="00A5780C" w:rsidP="00A5780C">
            <w:pPr>
              <w:widowControl/>
              <w:autoSpaceDE/>
              <w:autoSpaceDN/>
              <w:ind w:firstLineChars="200" w:firstLine="400"/>
              <w:jc w:val="right"/>
              <w:rPr>
                <w:rFonts w:ascii="Arial" w:eastAsia="Times New Roman" w:hAnsi="Arial" w:cs="Arial"/>
                <w:bCs/>
                <w:sz w:val="20"/>
                <w:szCs w:val="20"/>
              </w:rPr>
            </w:pPr>
            <w:r w:rsidRPr="00A5780C">
              <w:rPr>
                <w:rFonts w:ascii="Arial" w:eastAsia="Times New Roman" w:hAnsi="Arial" w:cs="Arial"/>
                <w:bCs/>
                <w:sz w:val="20"/>
                <w:szCs w:val="20"/>
              </w:rPr>
              <w:t>-</w:t>
            </w:r>
          </w:p>
        </w:tc>
        <w:tc>
          <w:tcPr>
            <w:tcW w:w="811" w:type="pct"/>
            <w:tcBorders>
              <w:top w:val="single" w:sz="2" w:space="0" w:color="auto"/>
              <w:left w:val="nil"/>
              <w:bottom w:val="single" w:sz="4" w:space="0" w:color="auto"/>
              <w:right w:val="nil"/>
            </w:tcBorders>
            <w:shd w:val="clear" w:color="auto" w:fill="auto"/>
            <w:vAlign w:val="bottom"/>
          </w:tcPr>
          <w:p w14:paraId="7C460695" w14:textId="77777777" w:rsidR="00A5780C" w:rsidRPr="00A5780C" w:rsidRDefault="00A5780C" w:rsidP="00A5780C">
            <w:pPr>
              <w:widowControl/>
              <w:autoSpaceDE/>
              <w:autoSpaceDN/>
              <w:ind w:firstLineChars="200" w:firstLine="400"/>
              <w:jc w:val="right"/>
              <w:rPr>
                <w:rFonts w:ascii="Arial" w:eastAsia="Times New Roman" w:hAnsi="Arial" w:cs="Arial"/>
                <w:bCs/>
                <w:sz w:val="20"/>
                <w:szCs w:val="20"/>
              </w:rPr>
            </w:pPr>
            <w:r w:rsidRPr="00A5780C">
              <w:rPr>
                <w:rFonts w:ascii="Arial" w:eastAsia="Times New Roman" w:hAnsi="Arial" w:cs="Arial"/>
                <w:bCs/>
                <w:sz w:val="20"/>
                <w:szCs w:val="20"/>
              </w:rPr>
              <w:t>36,391</w:t>
            </w:r>
          </w:p>
        </w:tc>
      </w:tr>
      <w:tr w:rsidR="00A5780C" w:rsidRPr="00A5780C" w14:paraId="31E324AC" w14:textId="77777777" w:rsidTr="00A5780C">
        <w:trPr>
          <w:trHeight w:hRule="exact" w:val="170"/>
          <w:jc w:val="right"/>
        </w:trPr>
        <w:tc>
          <w:tcPr>
            <w:tcW w:w="3291" w:type="pct"/>
            <w:tcBorders>
              <w:top w:val="single" w:sz="4" w:space="0" w:color="auto"/>
              <w:left w:val="nil"/>
              <w:right w:val="nil"/>
            </w:tcBorders>
            <w:shd w:val="clear" w:color="auto" w:fill="auto"/>
            <w:noWrap/>
            <w:vAlign w:val="bottom"/>
          </w:tcPr>
          <w:p w14:paraId="71C1EBCD" w14:textId="77777777" w:rsidR="00A5780C" w:rsidRPr="00A5780C" w:rsidRDefault="00A5780C" w:rsidP="00A5780C">
            <w:pPr>
              <w:widowControl/>
              <w:autoSpaceDE/>
              <w:autoSpaceDN/>
              <w:ind w:leftChars="-47" w:left="-97" w:hangingChars="3" w:hanging="6"/>
              <w:rPr>
                <w:rFonts w:ascii="Arial" w:eastAsia="Times New Roman" w:hAnsi="Arial" w:cs="Arial"/>
                <w:sz w:val="20"/>
                <w:szCs w:val="20"/>
              </w:rPr>
            </w:pPr>
          </w:p>
        </w:tc>
        <w:tc>
          <w:tcPr>
            <w:tcW w:w="898" w:type="pct"/>
            <w:tcBorders>
              <w:top w:val="single" w:sz="4" w:space="0" w:color="auto"/>
              <w:left w:val="nil"/>
              <w:right w:val="nil"/>
            </w:tcBorders>
            <w:shd w:val="clear" w:color="auto" w:fill="auto"/>
            <w:noWrap/>
            <w:vAlign w:val="bottom"/>
          </w:tcPr>
          <w:p w14:paraId="37800039" w14:textId="77777777" w:rsidR="00A5780C" w:rsidRPr="00A5780C" w:rsidRDefault="00A5780C" w:rsidP="00A5780C">
            <w:pPr>
              <w:widowControl/>
              <w:autoSpaceDE/>
              <w:autoSpaceDN/>
              <w:ind w:firstLineChars="200" w:firstLine="400"/>
              <w:jc w:val="right"/>
              <w:rPr>
                <w:rFonts w:ascii="Arial" w:eastAsia="Times New Roman" w:hAnsi="Arial" w:cs="Arial"/>
                <w:bCs/>
                <w:sz w:val="20"/>
                <w:szCs w:val="20"/>
              </w:rPr>
            </w:pPr>
          </w:p>
        </w:tc>
        <w:tc>
          <w:tcPr>
            <w:tcW w:w="811" w:type="pct"/>
            <w:tcBorders>
              <w:top w:val="single" w:sz="4" w:space="0" w:color="auto"/>
              <w:left w:val="nil"/>
              <w:right w:val="nil"/>
            </w:tcBorders>
            <w:shd w:val="clear" w:color="auto" w:fill="auto"/>
            <w:vAlign w:val="bottom"/>
          </w:tcPr>
          <w:p w14:paraId="44956226" w14:textId="77777777" w:rsidR="00A5780C" w:rsidRPr="00A5780C" w:rsidRDefault="00A5780C" w:rsidP="00A5780C">
            <w:pPr>
              <w:widowControl/>
              <w:autoSpaceDE/>
              <w:autoSpaceDN/>
              <w:ind w:firstLineChars="200" w:firstLine="320"/>
              <w:jc w:val="right"/>
              <w:rPr>
                <w:rFonts w:ascii="Arial" w:eastAsia="Times New Roman" w:hAnsi="Arial" w:cs="Times New Roman"/>
                <w:sz w:val="16"/>
                <w:szCs w:val="16"/>
                <w:lang w:val="en-CA"/>
              </w:rPr>
            </w:pPr>
          </w:p>
        </w:tc>
      </w:tr>
      <w:tr w:rsidR="00A5780C" w:rsidRPr="00A5780C" w14:paraId="67E07D9B" w14:textId="77777777" w:rsidTr="00A5780C">
        <w:trPr>
          <w:trHeight w:val="20"/>
          <w:jc w:val="right"/>
        </w:trPr>
        <w:tc>
          <w:tcPr>
            <w:tcW w:w="3291" w:type="pct"/>
            <w:tcBorders>
              <w:top w:val="nil"/>
              <w:left w:val="nil"/>
              <w:right w:val="nil"/>
            </w:tcBorders>
            <w:shd w:val="clear" w:color="auto" w:fill="auto"/>
            <w:noWrap/>
            <w:vAlign w:val="bottom"/>
          </w:tcPr>
          <w:p w14:paraId="72029E4B" w14:textId="77777777" w:rsidR="00A5780C" w:rsidRPr="00A5780C" w:rsidRDefault="00A5780C" w:rsidP="00A5780C">
            <w:pPr>
              <w:widowControl/>
              <w:autoSpaceDE/>
              <w:autoSpaceDN/>
              <w:ind w:leftChars="-47" w:left="-97" w:hangingChars="3" w:hanging="6"/>
              <w:rPr>
                <w:rFonts w:ascii="Arial" w:eastAsia="Times New Roman" w:hAnsi="Arial" w:cs="Arial"/>
                <w:b/>
                <w:sz w:val="20"/>
                <w:szCs w:val="20"/>
              </w:rPr>
            </w:pPr>
            <w:r w:rsidRPr="00A5780C">
              <w:rPr>
                <w:rFonts w:ascii="Arial" w:eastAsia="Times New Roman" w:hAnsi="Arial" w:cs="Arial"/>
                <w:b/>
                <w:sz w:val="20"/>
                <w:szCs w:val="20"/>
              </w:rPr>
              <w:t>Due to related parties</w:t>
            </w:r>
          </w:p>
        </w:tc>
        <w:tc>
          <w:tcPr>
            <w:tcW w:w="898" w:type="pct"/>
            <w:tcBorders>
              <w:top w:val="nil"/>
              <w:left w:val="nil"/>
              <w:right w:val="nil"/>
            </w:tcBorders>
            <w:shd w:val="clear" w:color="auto" w:fill="auto"/>
            <w:noWrap/>
            <w:vAlign w:val="bottom"/>
          </w:tcPr>
          <w:p w14:paraId="697F8BD8" w14:textId="77777777" w:rsidR="00A5780C" w:rsidRPr="00A5780C" w:rsidRDefault="00A5780C" w:rsidP="00A5780C">
            <w:pPr>
              <w:widowControl/>
              <w:autoSpaceDE/>
              <w:autoSpaceDN/>
              <w:ind w:firstLineChars="200" w:firstLine="400"/>
              <w:jc w:val="right"/>
              <w:rPr>
                <w:rFonts w:ascii="Arial" w:eastAsia="Times New Roman" w:hAnsi="Arial" w:cs="Arial"/>
                <w:bCs/>
                <w:sz w:val="20"/>
                <w:szCs w:val="20"/>
              </w:rPr>
            </w:pPr>
          </w:p>
        </w:tc>
        <w:tc>
          <w:tcPr>
            <w:tcW w:w="811" w:type="pct"/>
            <w:tcBorders>
              <w:top w:val="nil"/>
              <w:left w:val="nil"/>
              <w:right w:val="nil"/>
            </w:tcBorders>
            <w:shd w:val="clear" w:color="auto" w:fill="auto"/>
            <w:vAlign w:val="bottom"/>
          </w:tcPr>
          <w:p w14:paraId="5D24CD2F" w14:textId="77777777" w:rsidR="00A5780C" w:rsidRPr="00A5780C" w:rsidRDefault="00A5780C" w:rsidP="00A5780C">
            <w:pPr>
              <w:widowControl/>
              <w:autoSpaceDE/>
              <w:autoSpaceDN/>
              <w:ind w:firstLineChars="200" w:firstLine="400"/>
              <w:jc w:val="right"/>
              <w:rPr>
                <w:rFonts w:ascii="Arial" w:eastAsia="Times New Roman" w:hAnsi="Arial" w:cs="Arial"/>
                <w:bCs/>
                <w:sz w:val="20"/>
                <w:szCs w:val="20"/>
              </w:rPr>
            </w:pPr>
          </w:p>
        </w:tc>
      </w:tr>
      <w:tr w:rsidR="00A5780C" w:rsidRPr="00A5780C" w14:paraId="4A4DFDD2" w14:textId="77777777" w:rsidTr="00A5780C">
        <w:trPr>
          <w:trHeight w:val="20"/>
          <w:jc w:val="right"/>
        </w:trPr>
        <w:tc>
          <w:tcPr>
            <w:tcW w:w="3291" w:type="pct"/>
            <w:tcBorders>
              <w:top w:val="nil"/>
              <w:left w:val="nil"/>
              <w:right w:val="nil"/>
            </w:tcBorders>
            <w:shd w:val="clear" w:color="auto" w:fill="auto"/>
            <w:noWrap/>
            <w:vAlign w:val="bottom"/>
          </w:tcPr>
          <w:p w14:paraId="2A3F94FA" w14:textId="77777777" w:rsidR="00A5780C" w:rsidRPr="00A5780C" w:rsidRDefault="00A5780C" w:rsidP="00A5780C">
            <w:pPr>
              <w:widowControl/>
              <w:autoSpaceDE/>
              <w:autoSpaceDN/>
              <w:ind w:leftChars="-47" w:left="-97" w:hangingChars="3" w:hanging="6"/>
              <w:rPr>
                <w:rFonts w:ascii="Arial" w:eastAsia="Times New Roman" w:hAnsi="Arial" w:cs="Arial"/>
                <w:sz w:val="20"/>
                <w:szCs w:val="20"/>
              </w:rPr>
            </w:pPr>
            <w:r w:rsidRPr="00A5780C">
              <w:rPr>
                <w:rFonts w:ascii="Arial" w:eastAsia="Times New Roman" w:hAnsi="Arial" w:cs="Arial"/>
                <w:sz w:val="20"/>
                <w:szCs w:val="20"/>
              </w:rPr>
              <w:t>Accounts payable and accrued liabilities</w:t>
            </w:r>
          </w:p>
        </w:tc>
        <w:tc>
          <w:tcPr>
            <w:tcW w:w="898" w:type="pct"/>
            <w:tcBorders>
              <w:top w:val="nil"/>
              <w:left w:val="nil"/>
              <w:right w:val="nil"/>
            </w:tcBorders>
            <w:shd w:val="clear" w:color="auto" w:fill="auto"/>
            <w:noWrap/>
            <w:vAlign w:val="bottom"/>
          </w:tcPr>
          <w:p w14:paraId="64430359" w14:textId="77777777" w:rsidR="00A5780C" w:rsidRPr="00A5780C" w:rsidRDefault="00A5780C" w:rsidP="00A5780C">
            <w:pPr>
              <w:widowControl/>
              <w:autoSpaceDE/>
              <w:autoSpaceDN/>
              <w:ind w:firstLineChars="200" w:firstLine="400"/>
              <w:jc w:val="right"/>
              <w:rPr>
                <w:rFonts w:ascii="Arial" w:eastAsia="Times New Roman" w:hAnsi="Arial" w:cs="Arial"/>
                <w:bCs/>
                <w:sz w:val="20"/>
                <w:szCs w:val="20"/>
              </w:rPr>
            </w:pPr>
            <w:r w:rsidRPr="00A5780C">
              <w:rPr>
                <w:rFonts w:ascii="Arial" w:eastAsia="Times New Roman" w:hAnsi="Arial" w:cs="Arial"/>
                <w:bCs/>
                <w:sz w:val="20"/>
                <w:szCs w:val="20"/>
              </w:rPr>
              <w:t>(19,767)</w:t>
            </w:r>
          </w:p>
        </w:tc>
        <w:tc>
          <w:tcPr>
            <w:tcW w:w="811" w:type="pct"/>
            <w:tcBorders>
              <w:top w:val="nil"/>
              <w:left w:val="nil"/>
              <w:right w:val="nil"/>
            </w:tcBorders>
            <w:shd w:val="clear" w:color="auto" w:fill="auto"/>
            <w:vAlign w:val="bottom"/>
          </w:tcPr>
          <w:p w14:paraId="79E466F0" w14:textId="77777777" w:rsidR="00A5780C" w:rsidRPr="00A5780C" w:rsidRDefault="00A5780C" w:rsidP="00A5780C">
            <w:pPr>
              <w:widowControl/>
              <w:autoSpaceDE/>
              <w:autoSpaceDN/>
              <w:ind w:firstLineChars="200" w:firstLine="400"/>
              <w:jc w:val="right"/>
              <w:rPr>
                <w:rFonts w:ascii="Arial" w:eastAsia="Times New Roman" w:hAnsi="Arial" w:cs="Arial"/>
                <w:bCs/>
                <w:sz w:val="20"/>
                <w:szCs w:val="20"/>
              </w:rPr>
            </w:pPr>
            <w:r w:rsidRPr="00A5780C">
              <w:rPr>
                <w:rFonts w:ascii="Arial" w:eastAsia="Times New Roman" w:hAnsi="Arial" w:cs="Arial"/>
                <w:bCs/>
                <w:sz w:val="20"/>
                <w:szCs w:val="20"/>
              </w:rPr>
              <w:t>(115,066)</w:t>
            </w:r>
          </w:p>
        </w:tc>
      </w:tr>
      <w:tr w:rsidR="00A5780C" w:rsidRPr="00A5780C" w14:paraId="55D59979" w14:textId="77777777" w:rsidTr="00A5780C">
        <w:trPr>
          <w:trHeight w:val="20"/>
          <w:jc w:val="right"/>
        </w:trPr>
        <w:tc>
          <w:tcPr>
            <w:tcW w:w="3291" w:type="pct"/>
            <w:tcBorders>
              <w:left w:val="nil"/>
              <w:right w:val="nil"/>
            </w:tcBorders>
            <w:shd w:val="clear" w:color="auto" w:fill="auto"/>
            <w:noWrap/>
            <w:vAlign w:val="bottom"/>
          </w:tcPr>
          <w:p w14:paraId="2D0F4C37" w14:textId="43800B7C" w:rsidR="00A5780C" w:rsidRPr="00A5780C" w:rsidRDefault="00A5780C" w:rsidP="00A5780C">
            <w:pPr>
              <w:widowControl/>
              <w:autoSpaceDE/>
              <w:autoSpaceDN/>
              <w:ind w:leftChars="-47" w:left="-97" w:hangingChars="3" w:hanging="6"/>
              <w:rPr>
                <w:rFonts w:ascii="Arial" w:eastAsia="Times New Roman" w:hAnsi="Arial" w:cs="Arial"/>
                <w:sz w:val="20"/>
                <w:szCs w:val="20"/>
              </w:rPr>
            </w:pPr>
            <w:r w:rsidRPr="00A5780C">
              <w:rPr>
                <w:rFonts w:ascii="Arial" w:eastAsia="Times New Roman" w:hAnsi="Arial" w:cs="Arial"/>
                <w:sz w:val="20"/>
                <w:szCs w:val="20"/>
              </w:rPr>
              <w:t>Lease obligation</w:t>
            </w:r>
            <w:r w:rsidRPr="00A5780C">
              <w:rPr>
                <w:rFonts w:ascii="Arial" w:eastAsia="Times New Roman" w:hAnsi="Arial" w:cs="Arial"/>
                <w:sz w:val="20"/>
                <w:szCs w:val="20"/>
                <w:vertAlign w:val="superscript"/>
              </w:rPr>
              <w:t>1</w:t>
            </w:r>
          </w:p>
        </w:tc>
        <w:tc>
          <w:tcPr>
            <w:tcW w:w="898" w:type="pct"/>
            <w:tcBorders>
              <w:left w:val="nil"/>
              <w:right w:val="nil"/>
            </w:tcBorders>
            <w:shd w:val="clear" w:color="auto" w:fill="auto"/>
            <w:noWrap/>
            <w:vAlign w:val="bottom"/>
          </w:tcPr>
          <w:p w14:paraId="3EEB952D" w14:textId="77777777" w:rsidR="00A5780C" w:rsidRPr="00A5780C" w:rsidRDefault="00A5780C" w:rsidP="00A5780C">
            <w:pPr>
              <w:widowControl/>
              <w:autoSpaceDE/>
              <w:autoSpaceDN/>
              <w:ind w:firstLineChars="200" w:firstLine="400"/>
              <w:jc w:val="right"/>
              <w:rPr>
                <w:rFonts w:ascii="Arial" w:eastAsia="Times New Roman" w:hAnsi="Arial" w:cs="Arial"/>
                <w:sz w:val="20"/>
                <w:szCs w:val="20"/>
                <w:lang w:val="en-GB" w:eastAsia="zh-TW"/>
              </w:rPr>
            </w:pPr>
            <w:r w:rsidRPr="00A5780C">
              <w:rPr>
                <w:rFonts w:ascii="Arial" w:eastAsia="Times New Roman" w:hAnsi="Arial" w:cs="Arial"/>
                <w:sz w:val="20"/>
                <w:szCs w:val="20"/>
                <w:lang w:val="en-GB" w:eastAsia="zh-TW"/>
              </w:rPr>
              <w:t>(1,083,687)</w:t>
            </w:r>
          </w:p>
        </w:tc>
        <w:tc>
          <w:tcPr>
            <w:tcW w:w="811" w:type="pct"/>
            <w:tcBorders>
              <w:left w:val="nil"/>
              <w:right w:val="nil"/>
            </w:tcBorders>
            <w:shd w:val="clear" w:color="auto" w:fill="auto"/>
            <w:vAlign w:val="bottom"/>
          </w:tcPr>
          <w:p w14:paraId="6EC6A5DA" w14:textId="77777777" w:rsidR="00A5780C" w:rsidRPr="00A5780C" w:rsidRDefault="00A5780C" w:rsidP="00A5780C">
            <w:pPr>
              <w:widowControl/>
              <w:autoSpaceDE/>
              <w:autoSpaceDN/>
              <w:ind w:firstLineChars="200" w:firstLine="400"/>
              <w:jc w:val="right"/>
              <w:rPr>
                <w:rFonts w:ascii="Arial" w:eastAsia="Times New Roman" w:hAnsi="Arial" w:cs="Arial"/>
                <w:sz w:val="20"/>
                <w:szCs w:val="20"/>
                <w:lang w:val="en-GB" w:eastAsia="zh-TW"/>
              </w:rPr>
            </w:pPr>
            <w:r w:rsidRPr="00A5780C">
              <w:rPr>
                <w:rFonts w:ascii="Arial" w:eastAsia="Times New Roman" w:hAnsi="Arial" w:cs="Arial"/>
                <w:sz w:val="20"/>
                <w:szCs w:val="20"/>
                <w:lang w:val="en-GB" w:eastAsia="zh-TW"/>
              </w:rPr>
              <w:t>(21,888)</w:t>
            </w:r>
          </w:p>
        </w:tc>
      </w:tr>
      <w:tr w:rsidR="00A5780C" w:rsidRPr="00A5780C" w14:paraId="72EAF852" w14:textId="77777777" w:rsidTr="00A5780C">
        <w:trPr>
          <w:trHeight w:val="20"/>
          <w:jc w:val="right"/>
        </w:trPr>
        <w:tc>
          <w:tcPr>
            <w:tcW w:w="3291" w:type="pct"/>
            <w:tcBorders>
              <w:top w:val="single" w:sz="2" w:space="0" w:color="auto"/>
              <w:left w:val="nil"/>
              <w:bottom w:val="single" w:sz="12" w:space="0" w:color="auto"/>
              <w:right w:val="nil"/>
            </w:tcBorders>
            <w:shd w:val="clear" w:color="auto" w:fill="auto"/>
            <w:noWrap/>
            <w:vAlign w:val="bottom"/>
          </w:tcPr>
          <w:p w14:paraId="7E6DABC4" w14:textId="77777777" w:rsidR="00A5780C" w:rsidRPr="00A5780C" w:rsidRDefault="00A5780C" w:rsidP="00A5780C">
            <w:pPr>
              <w:widowControl/>
              <w:autoSpaceDE/>
              <w:autoSpaceDN/>
              <w:ind w:leftChars="-47" w:left="-97" w:hangingChars="3" w:hanging="6"/>
              <w:rPr>
                <w:rFonts w:ascii="Arial" w:eastAsia="Times New Roman" w:hAnsi="Arial" w:cs="Arial"/>
                <w:sz w:val="20"/>
                <w:szCs w:val="20"/>
              </w:rPr>
            </w:pPr>
            <w:r w:rsidRPr="00A5780C">
              <w:rPr>
                <w:rFonts w:ascii="Arial" w:eastAsia="Times New Roman" w:hAnsi="Arial" w:cs="Arial"/>
                <w:sz w:val="20"/>
                <w:szCs w:val="20"/>
              </w:rPr>
              <w:t>Total due to related parties</w:t>
            </w:r>
          </w:p>
        </w:tc>
        <w:tc>
          <w:tcPr>
            <w:tcW w:w="898" w:type="pct"/>
            <w:tcBorders>
              <w:top w:val="single" w:sz="2" w:space="0" w:color="auto"/>
              <w:left w:val="nil"/>
              <w:bottom w:val="single" w:sz="12" w:space="0" w:color="auto"/>
              <w:right w:val="nil"/>
            </w:tcBorders>
            <w:shd w:val="clear" w:color="auto" w:fill="auto"/>
            <w:noWrap/>
            <w:vAlign w:val="bottom"/>
          </w:tcPr>
          <w:p w14:paraId="50638539" w14:textId="77777777" w:rsidR="00A5780C" w:rsidRPr="00A5780C" w:rsidRDefault="00A5780C" w:rsidP="00A5780C">
            <w:pPr>
              <w:widowControl/>
              <w:autoSpaceDE/>
              <w:autoSpaceDN/>
              <w:jc w:val="right"/>
              <w:rPr>
                <w:rFonts w:ascii="Arial" w:eastAsia="Times New Roman" w:hAnsi="Arial" w:cs="Times New Roman"/>
                <w:sz w:val="20"/>
                <w:szCs w:val="24"/>
                <w:lang w:val="en-CA"/>
              </w:rPr>
            </w:pPr>
            <w:r w:rsidRPr="00A5780C">
              <w:rPr>
                <w:rFonts w:ascii="Arial" w:eastAsia="Times New Roman" w:hAnsi="Arial" w:cs="Arial"/>
                <w:bCs/>
                <w:sz w:val="20"/>
                <w:szCs w:val="20"/>
              </w:rPr>
              <w:t>(1,103,454)</w:t>
            </w:r>
          </w:p>
        </w:tc>
        <w:tc>
          <w:tcPr>
            <w:tcW w:w="811" w:type="pct"/>
            <w:tcBorders>
              <w:top w:val="single" w:sz="2" w:space="0" w:color="auto"/>
              <w:left w:val="nil"/>
              <w:bottom w:val="single" w:sz="12" w:space="0" w:color="auto"/>
              <w:right w:val="nil"/>
            </w:tcBorders>
            <w:shd w:val="clear" w:color="auto" w:fill="auto"/>
            <w:vAlign w:val="bottom"/>
          </w:tcPr>
          <w:p w14:paraId="14FAC1D6" w14:textId="77777777" w:rsidR="00A5780C" w:rsidRPr="00A5780C" w:rsidRDefault="00A5780C" w:rsidP="00A5780C">
            <w:pPr>
              <w:widowControl/>
              <w:autoSpaceDE/>
              <w:autoSpaceDN/>
              <w:jc w:val="right"/>
              <w:rPr>
                <w:rFonts w:ascii="Arial" w:eastAsia="Times New Roman" w:hAnsi="Arial" w:cs="Arial"/>
                <w:bCs/>
                <w:sz w:val="20"/>
                <w:szCs w:val="20"/>
              </w:rPr>
            </w:pPr>
            <w:r w:rsidRPr="00A5780C">
              <w:rPr>
                <w:rFonts w:ascii="Arial" w:eastAsia="Times New Roman" w:hAnsi="Arial" w:cs="Arial"/>
                <w:bCs/>
                <w:sz w:val="20"/>
                <w:szCs w:val="20"/>
              </w:rPr>
              <w:t>(136,954)</w:t>
            </w:r>
          </w:p>
        </w:tc>
      </w:tr>
    </w:tbl>
    <w:p w14:paraId="3B4549DD" w14:textId="77777777" w:rsidR="00A5780C" w:rsidRPr="00A5780C" w:rsidRDefault="00A5780C" w:rsidP="00B37735">
      <w:pPr>
        <w:widowControl/>
        <w:numPr>
          <w:ilvl w:val="0"/>
          <w:numId w:val="39"/>
        </w:numPr>
        <w:tabs>
          <w:tab w:val="left" w:pos="284"/>
        </w:tabs>
        <w:autoSpaceDE/>
        <w:autoSpaceDN/>
        <w:ind w:left="284" w:hanging="284"/>
        <w:jc w:val="both"/>
        <w:outlineLvl w:val="1"/>
        <w:rPr>
          <w:rFonts w:ascii="Arial" w:eastAsia="Calibri" w:hAnsi="Arial" w:cs="Arial"/>
          <w:sz w:val="18"/>
          <w:szCs w:val="18"/>
          <w:lang w:val="en-CA"/>
        </w:rPr>
      </w:pPr>
      <w:r w:rsidRPr="00A5780C">
        <w:rPr>
          <w:rFonts w:ascii="Arial" w:eastAsia="Calibri" w:hAnsi="Arial" w:cs="Arial"/>
          <w:sz w:val="18"/>
          <w:szCs w:val="18"/>
          <w:lang w:val="en-CA"/>
        </w:rPr>
        <w:t xml:space="preserve">A Director of the Company has a 50% ownership in a company that owns the land and building and leases the premises to our Atlas location. </w:t>
      </w:r>
    </w:p>
    <w:bookmarkEnd w:id="18"/>
    <w:p w14:paraId="028D6F7B" w14:textId="18D71DF1" w:rsidR="004B7764" w:rsidRPr="00271B27" w:rsidRDefault="004B7764" w:rsidP="0075420D">
      <w:pPr>
        <w:tabs>
          <w:tab w:val="left" w:pos="0"/>
        </w:tabs>
        <w:jc w:val="both"/>
        <w:outlineLvl w:val="0"/>
        <w:rPr>
          <w:rFonts w:ascii="Arial" w:hAnsi="Arial" w:cs="Arial"/>
          <w:sz w:val="20"/>
          <w:szCs w:val="20"/>
          <w:highlight w:val="yellow"/>
        </w:rPr>
      </w:pPr>
    </w:p>
    <w:p w14:paraId="34AC1F9E" w14:textId="105C0D99" w:rsidR="00387BCA" w:rsidRPr="00D20F46" w:rsidRDefault="00387BCA" w:rsidP="00387BCA">
      <w:pPr>
        <w:keepNext/>
        <w:adjustRightInd w:val="0"/>
        <w:jc w:val="both"/>
        <w:rPr>
          <w:rFonts w:ascii="Arial" w:hAnsi="Arial" w:cs="Arial"/>
          <w:b/>
          <w:bCs/>
          <w:sz w:val="20"/>
          <w:szCs w:val="20"/>
        </w:rPr>
      </w:pPr>
      <w:r w:rsidRPr="00D20F46">
        <w:rPr>
          <w:rFonts w:ascii="Arial" w:hAnsi="Arial" w:cs="Arial"/>
          <w:b/>
          <w:bCs/>
          <w:noProof/>
          <w:sz w:val="20"/>
          <w:szCs w:val="20"/>
        </w:rPr>
        <mc:AlternateContent>
          <mc:Choice Requires="wps">
            <w:drawing>
              <wp:anchor distT="0" distB="0" distL="114300" distR="114300" simplePos="0" relativeHeight="251673088" behindDoc="0" locked="0" layoutInCell="1" allowOverlap="1" wp14:anchorId="6E7E4518" wp14:editId="7D2D9A08">
                <wp:simplePos x="0" y="0"/>
                <wp:positionH relativeFrom="page">
                  <wp:posOffset>823595</wp:posOffset>
                </wp:positionH>
                <wp:positionV relativeFrom="paragraph">
                  <wp:posOffset>201930</wp:posOffset>
                </wp:positionV>
                <wp:extent cx="6219825" cy="0"/>
                <wp:effectExtent l="13970" t="13970" r="5080" b="5080"/>
                <wp:wrapNone/>
                <wp:docPr id="28"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51490" id="Line 538"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85pt,15.9pt" to="554.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" strokeweight=".48pt">
                <w10:wrap anchorx="page"/>
              </v:line>
            </w:pict>
          </mc:Fallback>
        </mc:AlternateContent>
      </w:r>
      <w:r w:rsidRPr="00D20F46">
        <w:rPr>
          <w:rFonts w:ascii="Arial" w:hAnsi="Arial" w:cs="Arial"/>
          <w:b/>
          <w:bCs/>
          <w:noProof/>
          <w:sz w:val="20"/>
          <w:szCs w:val="20"/>
        </w:rPr>
        <w:t>LIQUIDITY AND CAPITAL RESOURCES</w:t>
      </w:r>
    </w:p>
    <w:p w14:paraId="4A45B003" w14:textId="77777777" w:rsidR="00387BCA" w:rsidRPr="00D20F46" w:rsidRDefault="00387BCA" w:rsidP="00387BCA">
      <w:pPr>
        <w:spacing w:line="218" w:lineRule="auto"/>
        <w:jc w:val="both"/>
        <w:rPr>
          <w:rFonts w:ascii="Arial" w:hAnsi="Arial" w:cs="Arial"/>
          <w:sz w:val="20"/>
          <w:szCs w:val="20"/>
        </w:rPr>
      </w:pPr>
    </w:p>
    <w:p w14:paraId="49A23365" w14:textId="77777777" w:rsidR="00666122" w:rsidRPr="00D20F46" w:rsidRDefault="00666122" w:rsidP="00666122">
      <w:pPr>
        <w:tabs>
          <w:tab w:val="left" w:pos="0"/>
        </w:tabs>
        <w:jc w:val="both"/>
        <w:rPr>
          <w:rFonts w:ascii="Arial" w:hAnsi="Arial" w:cs="Arial"/>
          <w:sz w:val="20"/>
          <w:szCs w:val="20"/>
        </w:rPr>
      </w:pPr>
      <w:r w:rsidRPr="00D20F46">
        <w:rPr>
          <w:rFonts w:ascii="Arial" w:hAnsi="Arial" w:cs="Arial"/>
          <w:sz w:val="20"/>
          <w:szCs w:val="20"/>
        </w:rPr>
        <w:t>The Company’s objectives when managing capital are to safeguard the Company’s ability to continue as a going concern. In the management of capital, the Company includes its components of shareholders’ equity.</w:t>
      </w:r>
    </w:p>
    <w:p w14:paraId="6E9A9476" w14:textId="77777777" w:rsidR="00666122" w:rsidRPr="00D20F46" w:rsidRDefault="00666122" w:rsidP="00666122">
      <w:pPr>
        <w:tabs>
          <w:tab w:val="left" w:pos="810"/>
        </w:tabs>
        <w:rPr>
          <w:rFonts w:ascii="Arial" w:hAnsi="Arial" w:cs="Arial"/>
          <w:bCs/>
          <w:sz w:val="20"/>
          <w:szCs w:val="20"/>
        </w:rPr>
      </w:pPr>
    </w:p>
    <w:p w14:paraId="3B3E6CDA" w14:textId="77777777" w:rsidR="00666122" w:rsidRPr="00D20F46" w:rsidRDefault="00666122" w:rsidP="00666122">
      <w:pPr>
        <w:tabs>
          <w:tab w:val="left" w:pos="810"/>
        </w:tabs>
        <w:jc w:val="both"/>
        <w:rPr>
          <w:rFonts w:ascii="Arial" w:hAnsi="Arial" w:cs="Arial"/>
          <w:b/>
          <w:color w:val="000000"/>
          <w:spacing w:val="-2"/>
          <w:sz w:val="20"/>
          <w:szCs w:val="20"/>
        </w:rPr>
      </w:pPr>
      <w:r w:rsidRPr="00D20F46">
        <w:rPr>
          <w:rFonts w:ascii="Arial" w:hAnsi="Arial" w:cs="Arial"/>
          <w:bCs/>
          <w:sz w:val="20"/>
          <w:szCs w:val="20"/>
        </w:rPr>
        <w:t>The Company maintains and adjusts its capital structure based on changes in economic conditions and the Company’s planned requirements. The Company may adjust its capital structure by issuing new equity, issuing new debt, or acquiring or disposing of assets, and controlling its expenses.  The Company is not subject to externally imposed capital requirements.</w:t>
      </w:r>
    </w:p>
    <w:p w14:paraId="64E2B5F1" w14:textId="77777777" w:rsidR="00666122" w:rsidRPr="00D20F46" w:rsidRDefault="00666122" w:rsidP="00666122">
      <w:pPr>
        <w:jc w:val="both"/>
        <w:rPr>
          <w:rFonts w:ascii="Arial" w:hAnsi="Arial" w:cs="Arial"/>
          <w:sz w:val="20"/>
          <w:szCs w:val="20"/>
          <w:lang w:val="en-GB"/>
        </w:rPr>
      </w:pPr>
    </w:p>
    <w:p w14:paraId="686ADB14" w14:textId="77777777" w:rsidR="00666122" w:rsidRPr="00DD4D89" w:rsidRDefault="00666122" w:rsidP="00666122">
      <w:pPr>
        <w:jc w:val="both"/>
        <w:rPr>
          <w:rFonts w:ascii="Arial" w:hAnsi="Arial" w:cs="Arial"/>
          <w:sz w:val="20"/>
          <w:szCs w:val="20"/>
          <w:lang w:val="en-GB"/>
        </w:rPr>
      </w:pPr>
      <w:r w:rsidRPr="00DD4D89">
        <w:rPr>
          <w:rFonts w:ascii="Arial" w:hAnsi="Arial" w:cs="Arial"/>
          <w:sz w:val="20"/>
          <w:szCs w:val="20"/>
          <w:lang w:val="en-GB"/>
        </w:rPr>
        <w:t xml:space="preserve">The Company is not subject to any capital requirements imposed by a regulator, other than continued listing requirements. </w:t>
      </w:r>
    </w:p>
    <w:p w14:paraId="66638A1F" w14:textId="77777777" w:rsidR="00666122" w:rsidRPr="00DD4D89" w:rsidRDefault="00666122" w:rsidP="00666122">
      <w:pPr>
        <w:jc w:val="both"/>
        <w:rPr>
          <w:rFonts w:ascii="Arial" w:hAnsi="Arial" w:cs="Arial"/>
          <w:sz w:val="20"/>
          <w:szCs w:val="20"/>
          <w:lang w:val="en-GB"/>
        </w:rPr>
      </w:pPr>
    </w:p>
    <w:p w14:paraId="13B6AAC5" w14:textId="0E6751E5" w:rsidR="00666122" w:rsidRPr="00DD4D89" w:rsidRDefault="00666122" w:rsidP="00666122">
      <w:pPr>
        <w:ind w:right="115"/>
        <w:jc w:val="both"/>
        <w:rPr>
          <w:rFonts w:ascii="Arial" w:hAnsi="Arial" w:cs="Arial"/>
          <w:bCs/>
          <w:color w:val="000000" w:themeColor="text1"/>
          <w:sz w:val="20"/>
          <w:szCs w:val="20"/>
          <w:lang w:val="en-CA"/>
        </w:rPr>
      </w:pPr>
      <w:r w:rsidRPr="00DD4D89">
        <w:rPr>
          <w:rFonts w:ascii="Arial" w:hAnsi="Arial" w:cs="Arial"/>
          <w:bCs/>
          <w:color w:val="000000" w:themeColor="text1"/>
          <w:sz w:val="20"/>
          <w:szCs w:val="20"/>
          <w:lang w:val="en-CA"/>
        </w:rPr>
        <w:t>The Company’s total assets have increased to $</w:t>
      </w:r>
      <w:r w:rsidR="009525F5">
        <w:rPr>
          <w:rFonts w:ascii="Arial" w:hAnsi="Arial" w:cs="Arial"/>
          <w:bCs/>
          <w:color w:val="000000" w:themeColor="text1"/>
          <w:sz w:val="20"/>
          <w:szCs w:val="20"/>
          <w:lang w:val="en-CA"/>
        </w:rPr>
        <w:t>35,780,659</w:t>
      </w:r>
      <w:r w:rsidRPr="00DD4D89">
        <w:rPr>
          <w:rFonts w:ascii="Arial" w:hAnsi="Arial" w:cs="Arial"/>
          <w:bCs/>
          <w:color w:val="000000" w:themeColor="text1"/>
          <w:sz w:val="20"/>
          <w:szCs w:val="20"/>
          <w:lang w:val="en-CA"/>
        </w:rPr>
        <w:t xml:space="preserve"> as </w:t>
      </w:r>
      <w:proofErr w:type="gramStart"/>
      <w:r w:rsidRPr="00DD4D89">
        <w:rPr>
          <w:rFonts w:ascii="Arial" w:hAnsi="Arial" w:cs="Arial"/>
          <w:bCs/>
          <w:color w:val="000000" w:themeColor="text1"/>
          <w:sz w:val="20"/>
          <w:szCs w:val="20"/>
          <w:lang w:val="en-CA"/>
        </w:rPr>
        <w:t>at</w:t>
      </w:r>
      <w:proofErr w:type="gramEnd"/>
      <w:r w:rsidRPr="00DD4D89">
        <w:rPr>
          <w:rFonts w:ascii="Arial" w:hAnsi="Arial" w:cs="Arial"/>
          <w:bCs/>
          <w:color w:val="000000" w:themeColor="text1"/>
          <w:sz w:val="20"/>
          <w:szCs w:val="20"/>
          <w:lang w:val="en-CA"/>
        </w:rPr>
        <w:t xml:space="preserve"> </w:t>
      </w:r>
      <w:r w:rsidR="00D20F46" w:rsidRPr="00DD4D89">
        <w:rPr>
          <w:rFonts w:ascii="Arial" w:hAnsi="Arial" w:cs="Arial"/>
          <w:bCs/>
          <w:color w:val="000000" w:themeColor="text1"/>
          <w:sz w:val="20"/>
          <w:szCs w:val="20"/>
          <w:lang w:val="en-CA"/>
        </w:rPr>
        <w:t>December 31</w:t>
      </w:r>
      <w:r w:rsidRPr="00DD4D89">
        <w:rPr>
          <w:rFonts w:ascii="Arial" w:hAnsi="Arial" w:cs="Arial"/>
          <w:bCs/>
          <w:color w:val="000000" w:themeColor="text1"/>
          <w:sz w:val="20"/>
          <w:szCs w:val="20"/>
          <w:lang w:val="en-CA"/>
        </w:rPr>
        <w:t xml:space="preserve">, 2021 compared to $27,092,639 as at December 31, 2020. This is mainly due to </w:t>
      </w:r>
      <w:r w:rsidR="00EA7391" w:rsidRPr="00DD4D89">
        <w:rPr>
          <w:rFonts w:ascii="Arial" w:hAnsi="Arial" w:cs="Arial"/>
          <w:bCs/>
          <w:color w:val="000000" w:themeColor="text1"/>
          <w:sz w:val="20"/>
          <w:szCs w:val="20"/>
          <w:lang w:val="en-CA"/>
        </w:rPr>
        <w:t>increasing cash and accounts receivable due to increased sales and profits</w:t>
      </w:r>
      <w:r w:rsidR="00D20F46" w:rsidRPr="00DD4D89">
        <w:rPr>
          <w:rFonts w:ascii="Arial" w:hAnsi="Arial" w:cs="Arial"/>
          <w:bCs/>
          <w:color w:val="000000" w:themeColor="text1"/>
          <w:sz w:val="20"/>
          <w:szCs w:val="20"/>
          <w:lang w:val="en-CA"/>
        </w:rPr>
        <w:t xml:space="preserve"> and increased inventories due to increased raw material costs</w:t>
      </w:r>
      <w:r w:rsidR="00EA7391" w:rsidRPr="00DD4D89">
        <w:rPr>
          <w:rFonts w:ascii="Arial" w:hAnsi="Arial" w:cs="Arial"/>
          <w:bCs/>
          <w:color w:val="000000" w:themeColor="text1"/>
          <w:sz w:val="20"/>
          <w:szCs w:val="20"/>
          <w:lang w:val="en-CA"/>
        </w:rPr>
        <w:t xml:space="preserve">. The increase is also due to </w:t>
      </w:r>
      <w:r w:rsidR="008B59A2">
        <w:rPr>
          <w:rFonts w:ascii="Arial" w:hAnsi="Arial" w:cs="Arial"/>
          <w:bCs/>
          <w:color w:val="000000" w:themeColor="text1"/>
          <w:sz w:val="20"/>
          <w:szCs w:val="20"/>
          <w:lang w:val="en-CA"/>
        </w:rPr>
        <w:t>a</w:t>
      </w:r>
      <w:r w:rsidRPr="00DD4D89">
        <w:rPr>
          <w:rFonts w:ascii="Arial" w:hAnsi="Arial" w:cs="Arial"/>
          <w:bCs/>
          <w:color w:val="000000" w:themeColor="text1"/>
          <w:sz w:val="20"/>
          <w:szCs w:val="20"/>
          <w:lang w:val="en-CA"/>
        </w:rPr>
        <w:t xml:space="preserve"> significant manufacturing asset purchase at the end of January 2021. The Company’s total liabilities have </w:t>
      </w:r>
      <w:r w:rsidR="002C0813" w:rsidRPr="00DD4D89">
        <w:rPr>
          <w:rFonts w:ascii="Arial" w:hAnsi="Arial" w:cs="Arial"/>
          <w:bCs/>
          <w:color w:val="000000" w:themeColor="text1"/>
          <w:sz w:val="20"/>
          <w:szCs w:val="20"/>
          <w:lang w:val="en-CA"/>
        </w:rPr>
        <w:t>increased</w:t>
      </w:r>
      <w:r w:rsidRPr="00DD4D89">
        <w:rPr>
          <w:rFonts w:ascii="Arial" w:hAnsi="Arial" w:cs="Arial"/>
          <w:bCs/>
          <w:color w:val="000000" w:themeColor="text1"/>
          <w:sz w:val="20"/>
          <w:szCs w:val="20"/>
          <w:lang w:val="en-CA"/>
        </w:rPr>
        <w:t xml:space="preserve"> to $</w:t>
      </w:r>
      <w:r w:rsidR="009525F5">
        <w:rPr>
          <w:rFonts w:ascii="Arial" w:hAnsi="Arial" w:cs="Arial"/>
          <w:bCs/>
          <w:color w:val="000000" w:themeColor="text1"/>
          <w:sz w:val="20"/>
          <w:szCs w:val="20"/>
          <w:lang w:val="en-CA"/>
        </w:rPr>
        <w:t>15,968,016</w:t>
      </w:r>
      <w:r w:rsidRPr="00DD4D89">
        <w:rPr>
          <w:rFonts w:ascii="Arial" w:hAnsi="Arial" w:cs="Arial"/>
          <w:bCs/>
          <w:color w:val="000000" w:themeColor="text1"/>
          <w:sz w:val="20"/>
          <w:szCs w:val="20"/>
          <w:lang w:val="en-CA"/>
        </w:rPr>
        <w:t xml:space="preserve"> as </w:t>
      </w:r>
      <w:proofErr w:type="gramStart"/>
      <w:r w:rsidRPr="00DD4D89">
        <w:rPr>
          <w:rFonts w:ascii="Arial" w:hAnsi="Arial" w:cs="Arial"/>
          <w:bCs/>
          <w:color w:val="000000" w:themeColor="text1"/>
          <w:sz w:val="20"/>
          <w:szCs w:val="20"/>
          <w:lang w:val="en-CA"/>
        </w:rPr>
        <w:t>at</w:t>
      </w:r>
      <w:proofErr w:type="gramEnd"/>
      <w:r w:rsidRPr="00DD4D89">
        <w:rPr>
          <w:rFonts w:ascii="Arial" w:hAnsi="Arial" w:cs="Arial"/>
          <w:bCs/>
          <w:color w:val="000000" w:themeColor="text1"/>
          <w:sz w:val="20"/>
          <w:szCs w:val="20"/>
          <w:lang w:val="en-CA"/>
        </w:rPr>
        <w:t xml:space="preserve"> </w:t>
      </w:r>
      <w:r w:rsidR="00D20F46" w:rsidRPr="00DD4D89">
        <w:rPr>
          <w:rFonts w:ascii="Arial" w:hAnsi="Arial" w:cs="Arial"/>
          <w:bCs/>
          <w:color w:val="000000" w:themeColor="text1"/>
          <w:sz w:val="20"/>
          <w:szCs w:val="20"/>
          <w:lang w:val="en-CA"/>
        </w:rPr>
        <w:t>December 31</w:t>
      </w:r>
      <w:r w:rsidRPr="00DD4D89">
        <w:rPr>
          <w:rFonts w:ascii="Arial" w:hAnsi="Arial" w:cs="Arial"/>
          <w:bCs/>
          <w:color w:val="000000" w:themeColor="text1"/>
          <w:sz w:val="20"/>
          <w:szCs w:val="20"/>
          <w:lang w:val="en-CA"/>
        </w:rPr>
        <w:t>, 2021 from $</w:t>
      </w:r>
      <w:r w:rsidR="002C0813" w:rsidRPr="00DD4D89">
        <w:rPr>
          <w:rFonts w:ascii="Arial" w:hAnsi="Arial" w:cs="Arial"/>
          <w:bCs/>
          <w:color w:val="000000" w:themeColor="text1"/>
          <w:sz w:val="20"/>
          <w:szCs w:val="20"/>
          <w:lang w:val="en-CA"/>
        </w:rPr>
        <w:t>14,162,358</w:t>
      </w:r>
      <w:r w:rsidRPr="00DD4D89">
        <w:rPr>
          <w:rFonts w:ascii="Arial" w:hAnsi="Arial" w:cs="Arial"/>
          <w:bCs/>
          <w:color w:val="000000" w:themeColor="text1"/>
          <w:sz w:val="20"/>
          <w:szCs w:val="20"/>
          <w:lang w:val="en-CA"/>
        </w:rPr>
        <w:t xml:space="preserve"> as at December 31, 2020 mainly due to</w:t>
      </w:r>
      <w:r w:rsidR="002C0813" w:rsidRPr="00DD4D89">
        <w:rPr>
          <w:rFonts w:ascii="Arial" w:hAnsi="Arial" w:cs="Arial"/>
          <w:bCs/>
          <w:color w:val="000000" w:themeColor="text1"/>
          <w:sz w:val="20"/>
          <w:szCs w:val="20"/>
          <w:lang w:val="en-CA"/>
        </w:rPr>
        <w:t xml:space="preserve"> increased accounts payable because of increased material costs</w:t>
      </w:r>
      <w:r w:rsidR="00DD4D89" w:rsidRPr="00DD4D89">
        <w:rPr>
          <w:rFonts w:ascii="Arial" w:hAnsi="Arial" w:cs="Arial"/>
          <w:bCs/>
          <w:color w:val="000000" w:themeColor="text1"/>
          <w:sz w:val="20"/>
          <w:szCs w:val="20"/>
          <w:lang w:val="en-CA"/>
        </w:rPr>
        <w:t>, increased customer deposits due to new customers for higher revenues,</w:t>
      </w:r>
      <w:r w:rsidR="002C0813" w:rsidRPr="00DD4D89">
        <w:rPr>
          <w:rFonts w:ascii="Arial" w:hAnsi="Arial" w:cs="Arial"/>
          <w:bCs/>
          <w:color w:val="000000" w:themeColor="text1"/>
          <w:sz w:val="20"/>
          <w:szCs w:val="20"/>
          <w:lang w:val="en-CA"/>
        </w:rPr>
        <w:t xml:space="preserve"> and increased income taxes payable due to increased profits. </w:t>
      </w:r>
      <w:r w:rsidRPr="00DD4D89">
        <w:rPr>
          <w:rFonts w:ascii="Arial" w:hAnsi="Arial" w:cs="Arial"/>
          <w:bCs/>
          <w:color w:val="000000" w:themeColor="text1"/>
          <w:sz w:val="20"/>
          <w:szCs w:val="20"/>
          <w:lang w:val="en-CA"/>
        </w:rPr>
        <w:t xml:space="preserve"> </w:t>
      </w:r>
    </w:p>
    <w:p w14:paraId="61C2036F" w14:textId="77777777" w:rsidR="00666122" w:rsidRPr="00DD4D89" w:rsidRDefault="00666122" w:rsidP="00666122">
      <w:pPr>
        <w:jc w:val="both"/>
        <w:rPr>
          <w:rFonts w:ascii="Arial" w:hAnsi="Arial" w:cs="Arial"/>
          <w:sz w:val="20"/>
          <w:szCs w:val="20"/>
          <w:lang w:val="en-GB"/>
        </w:rPr>
      </w:pPr>
    </w:p>
    <w:p w14:paraId="6B0A982E" w14:textId="387D312F" w:rsidR="00666122" w:rsidRPr="00DD4D89" w:rsidRDefault="00666122" w:rsidP="00666122">
      <w:pPr>
        <w:jc w:val="both"/>
        <w:rPr>
          <w:rFonts w:ascii="Arial" w:hAnsi="Arial" w:cs="Arial"/>
          <w:sz w:val="20"/>
          <w:szCs w:val="20"/>
        </w:rPr>
      </w:pPr>
      <w:r w:rsidRPr="00DD4D89">
        <w:rPr>
          <w:rFonts w:ascii="Arial" w:hAnsi="Arial" w:cs="Arial"/>
          <w:sz w:val="20"/>
          <w:szCs w:val="20"/>
        </w:rPr>
        <w:t xml:space="preserve">As </w:t>
      </w:r>
      <w:proofErr w:type="gramStart"/>
      <w:r w:rsidRPr="00DD4D89">
        <w:rPr>
          <w:rFonts w:ascii="Arial" w:hAnsi="Arial" w:cs="Arial"/>
          <w:sz w:val="20"/>
          <w:szCs w:val="20"/>
        </w:rPr>
        <w:t>at</w:t>
      </w:r>
      <w:proofErr w:type="gramEnd"/>
      <w:r w:rsidRPr="00DD4D89">
        <w:rPr>
          <w:rFonts w:ascii="Arial" w:hAnsi="Arial" w:cs="Arial"/>
          <w:sz w:val="20"/>
          <w:szCs w:val="20"/>
        </w:rPr>
        <w:t xml:space="preserve"> </w:t>
      </w:r>
      <w:r w:rsidR="00DD4D89" w:rsidRPr="00DD4D89">
        <w:rPr>
          <w:rFonts w:ascii="Arial" w:hAnsi="Arial" w:cs="Arial"/>
          <w:bCs/>
          <w:sz w:val="20"/>
          <w:szCs w:val="20"/>
          <w:lang w:val="en-CA"/>
        </w:rPr>
        <w:t>December 31</w:t>
      </w:r>
      <w:r w:rsidRPr="00DD4D89">
        <w:rPr>
          <w:rFonts w:ascii="Arial" w:hAnsi="Arial" w:cs="Arial"/>
          <w:bCs/>
          <w:sz w:val="20"/>
          <w:szCs w:val="20"/>
          <w:lang w:val="en-CA"/>
        </w:rPr>
        <w:t>, 2021,</w:t>
      </w:r>
      <w:r w:rsidRPr="00DD4D89">
        <w:rPr>
          <w:rFonts w:ascii="Arial" w:hAnsi="Arial" w:cs="Arial"/>
          <w:sz w:val="20"/>
          <w:szCs w:val="20"/>
        </w:rPr>
        <w:t xml:space="preserve"> </w:t>
      </w:r>
      <w:r w:rsidRPr="00DD4D89">
        <w:rPr>
          <w:rFonts w:ascii="Arial" w:hAnsi="Arial" w:cs="Arial"/>
          <w:sz w:val="20"/>
          <w:szCs w:val="20"/>
          <w:lang w:eastAsia="zh-TW"/>
        </w:rPr>
        <w:t>the Company</w:t>
      </w:r>
      <w:r w:rsidRPr="00DD4D89">
        <w:rPr>
          <w:rFonts w:ascii="Arial" w:hAnsi="Arial" w:cs="Arial"/>
          <w:sz w:val="20"/>
          <w:szCs w:val="20"/>
        </w:rPr>
        <w:t xml:space="preserve"> held</w:t>
      </w:r>
      <w:r w:rsidRPr="00DD4D89">
        <w:rPr>
          <w:rFonts w:ascii="Arial" w:hAnsi="Arial" w:cs="Arial"/>
          <w:sz w:val="20"/>
          <w:szCs w:val="20"/>
          <w:lang w:eastAsia="zh-TW"/>
        </w:rPr>
        <w:t xml:space="preserve"> cash of $</w:t>
      </w:r>
      <w:r w:rsidR="00DD4D89" w:rsidRPr="00DD4D89">
        <w:rPr>
          <w:rFonts w:ascii="Arial" w:hAnsi="Arial" w:cs="Arial"/>
          <w:sz w:val="20"/>
          <w:szCs w:val="20"/>
          <w:lang w:eastAsia="zh-TW"/>
        </w:rPr>
        <w:t>8,947,182</w:t>
      </w:r>
      <w:r w:rsidRPr="00DD4D89">
        <w:rPr>
          <w:rFonts w:ascii="Arial" w:hAnsi="Arial" w:cs="Arial"/>
          <w:iCs/>
          <w:sz w:val="20"/>
          <w:szCs w:val="20"/>
        </w:rPr>
        <w:t xml:space="preserve"> and</w:t>
      </w:r>
      <w:r w:rsidRPr="00DD4D89">
        <w:rPr>
          <w:rFonts w:ascii="Arial" w:hAnsi="Arial" w:cs="Arial"/>
          <w:sz w:val="20"/>
          <w:szCs w:val="20"/>
          <w:lang w:eastAsia="zh-TW"/>
        </w:rPr>
        <w:t xml:space="preserve"> had </w:t>
      </w:r>
      <w:r w:rsidRPr="00DD4D89">
        <w:rPr>
          <w:rFonts w:ascii="Arial" w:hAnsi="Arial" w:cs="Arial"/>
          <w:sz w:val="20"/>
          <w:szCs w:val="20"/>
        </w:rPr>
        <w:t xml:space="preserve">working capital of </w:t>
      </w:r>
      <w:r w:rsidRPr="00DD4D89">
        <w:rPr>
          <w:rFonts w:ascii="Arial" w:hAnsi="Arial" w:cs="Arial"/>
          <w:sz w:val="20"/>
          <w:szCs w:val="20"/>
          <w:lang w:eastAsia="zh-TW"/>
        </w:rPr>
        <w:t>$</w:t>
      </w:r>
      <w:r w:rsidR="00DD4D89" w:rsidRPr="00DD4D89">
        <w:rPr>
          <w:rFonts w:ascii="Arial" w:hAnsi="Arial" w:cs="Arial"/>
          <w:sz w:val="20"/>
          <w:szCs w:val="20"/>
          <w:lang w:eastAsia="zh-TW"/>
        </w:rPr>
        <w:t>12,075,470</w:t>
      </w:r>
      <w:r w:rsidRPr="00DD4D89">
        <w:rPr>
          <w:rFonts w:ascii="Arial" w:hAnsi="Arial" w:cs="Arial"/>
          <w:sz w:val="20"/>
          <w:szCs w:val="20"/>
          <w:lang w:eastAsia="zh-TW"/>
        </w:rPr>
        <w:t xml:space="preserve"> </w:t>
      </w:r>
      <w:r w:rsidRPr="00DD4D89">
        <w:rPr>
          <w:rFonts w:ascii="Arial" w:hAnsi="Arial" w:cs="Arial"/>
          <w:sz w:val="20"/>
          <w:szCs w:val="20"/>
        </w:rPr>
        <w:t xml:space="preserve">(December 31, 2020 – cash of $1,816,989 and working capital of $4,500,009). Working capital has increased mainly due to </w:t>
      </w:r>
      <w:r w:rsidR="002C0813" w:rsidRPr="00DD4D89">
        <w:rPr>
          <w:rFonts w:ascii="Arial" w:hAnsi="Arial" w:cs="Arial"/>
          <w:sz w:val="20"/>
          <w:szCs w:val="20"/>
        </w:rPr>
        <w:t>increased revenues and profits impacting cash</w:t>
      </w:r>
      <w:r w:rsidR="00DD4D89" w:rsidRPr="00DD4D89">
        <w:rPr>
          <w:rFonts w:ascii="Arial" w:hAnsi="Arial" w:cs="Arial"/>
          <w:sz w:val="20"/>
          <w:szCs w:val="20"/>
        </w:rPr>
        <w:t>,</w:t>
      </w:r>
      <w:r w:rsidR="002C0813" w:rsidRPr="00DD4D89">
        <w:rPr>
          <w:rFonts w:ascii="Arial" w:hAnsi="Arial" w:cs="Arial"/>
          <w:sz w:val="20"/>
          <w:szCs w:val="20"/>
        </w:rPr>
        <w:t xml:space="preserve"> accounts receivable</w:t>
      </w:r>
      <w:r w:rsidR="00DD4D89" w:rsidRPr="00DD4D89">
        <w:rPr>
          <w:rFonts w:ascii="Arial" w:hAnsi="Arial" w:cs="Arial"/>
          <w:sz w:val="20"/>
          <w:szCs w:val="20"/>
        </w:rPr>
        <w:t>, and inventory</w:t>
      </w:r>
      <w:r w:rsidRPr="00DD4D89">
        <w:rPr>
          <w:rFonts w:ascii="Arial" w:hAnsi="Arial" w:cs="Arial"/>
          <w:sz w:val="20"/>
          <w:szCs w:val="20"/>
        </w:rPr>
        <w:t xml:space="preserve">. </w:t>
      </w:r>
    </w:p>
    <w:p w14:paraId="107D1B45" w14:textId="77777777" w:rsidR="00666122" w:rsidRPr="00DD4D89" w:rsidRDefault="00666122" w:rsidP="00666122">
      <w:pPr>
        <w:jc w:val="both"/>
        <w:rPr>
          <w:rFonts w:ascii="Arial" w:hAnsi="Arial" w:cs="Arial"/>
          <w:sz w:val="20"/>
          <w:szCs w:val="20"/>
        </w:rPr>
      </w:pPr>
    </w:p>
    <w:p w14:paraId="2A8BD19A" w14:textId="6E4B4591" w:rsidR="00666122" w:rsidRPr="00C9106D" w:rsidRDefault="00666122" w:rsidP="00666122">
      <w:pPr>
        <w:jc w:val="both"/>
        <w:rPr>
          <w:rFonts w:ascii="Arial" w:hAnsi="Arial" w:cs="Arial"/>
          <w:sz w:val="20"/>
          <w:szCs w:val="20"/>
          <w:lang w:eastAsia="zh-TW"/>
        </w:rPr>
      </w:pPr>
      <w:r w:rsidRPr="00DD4D89">
        <w:rPr>
          <w:rFonts w:ascii="Arial" w:hAnsi="Arial" w:cs="Arial"/>
          <w:sz w:val="20"/>
          <w:szCs w:val="20"/>
        </w:rPr>
        <w:t xml:space="preserve">During the </w:t>
      </w:r>
      <w:r w:rsidR="00DD4D89" w:rsidRPr="00DD4D89">
        <w:rPr>
          <w:rFonts w:ascii="Arial" w:hAnsi="Arial" w:cs="Arial"/>
          <w:bCs/>
          <w:sz w:val="20"/>
          <w:szCs w:val="20"/>
        </w:rPr>
        <w:t>year</w:t>
      </w:r>
      <w:r w:rsidRPr="00DD4D89">
        <w:rPr>
          <w:rFonts w:ascii="Arial" w:hAnsi="Arial" w:cs="Arial"/>
          <w:bCs/>
          <w:sz w:val="20"/>
          <w:szCs w:val="20"/>
        </w:rPr>
        <w:t xml:space="preserve"> ended </w:t>
      </w:r>
      <w:r w:rsidR="00DD4D89" w:rsidRPr="00DD4D89">
        <w:rPr>
          <w:rFonts w:ascii="Arial" w:hAnsi="Arial" w:cs="Arial"/>
          <w:bCs/>
          <w:sz w:val="20"/>
          <w:szCs w:val="20"/>
        </w:rPr>
        <w:t>December 31</w:t>
      </w:r>
      <w:r w:rsidRPr="00DD4D89">
        <w:rPr>
          <w:rFonts w:ascii="Arial" w:hAnsi="Arial" w:cs="Arial"/>
          <w:bCs/>
          <w:sz w:val="20"/>
          <w:szCs w:val="20"/>
        </w:rPr>
        <w:t>, 2021</w:t>
      </w:r>
      <w:r w:rsidRPr="00DD4D89">
        <w:rPr>
          <w:rFonts w:ascii="Arial" w:hAnsi="Arial" w:cs="Arial"/>
          <w:bCs/>
          <w:sz w:val="20"/>
          <w:szCs w:val="20"/>
          <w:lang w:val="en-CA"/>
        </w:rPr>
        <w:t>,</w:t>
      </w:r>
      <w:r w:rsidRPr="00DD4D89">
        <w:rPr>
          <w:rFonts w:ascii="Arial" w:hAnsi="Arial" w:cs="Arial"/>
          <w:sz w:val="20"/>
          <w:szCs w:val="20"/>
          <w:lang w:eastAsia="zh-TW"/>
        </w:rPr>
        <w:t xml:space="preserve"> net cash provided by operating activities was $</w:t>
      </w:r>
      <w:r w:rsidR="00DD4D89" w:rsidRPr="00DD4D89">
        <w:rPr>
          <w:rFonts w:ascii="Arial" w:hAnsi="Arial" w:cs="Arial"/>
          <w:sz w:val="20"/>
          <w:szCs w:val="20"/>
          <w:lang w:eastAsia="zh-TW"/>
        </w:rPr>
        <w:t>9,578,537</w:t>
      </w:r>
      <w:r w:rsidRPr="00DD4D89">
        <w:rPr>
          <w:rFonts w:ascii="Arial" w:hAnsi="Arial" w:cs="Arial"/>
          <w:sz w:val="20"/>
          <w:szCs w:val="20"/>
          <w:lang w:eastAsia="zh-TW"/>
        </w:rPr>
        <w:t xml:space="preserve"> (</w:t>
      </w:r>
      <w:r w:rsidR="00DD4D89" w:rsidRPr="00DD4D89">
        <w:rPr>
          <w:rFonts w:ascii="Arial" w:hAnsi="Arial" w:cs="Arial"/>
          <w:sz w:val="20"/>
          <w:szCs w:val="20"/>
          <w:lang w:eastAsia="zh-TW"/>
        </w:rPr>
        <w:t>year</w:t>
      </w:r>
      <w:r w:rsidRPr="00DD4D89">
        <w:rPr>
          <w:rFonts w:ascii="Arial" w:hAnsi="Arial" w:cs="Arial"/>
          <w:sz w:val="20"/>
          <w:szCs w:val="20"/>
          <w:lang w:eastAsia="zh-TW"/>
        </w:rPr>
        <w:t xml:space="preserve"> ended </w:t>
      </w:r>
      <w:r w:rsidR="00DD4D89" w:rsidRPr="00DD4D89">
        <w:rPr>
          <w:rFonts w:ascii="Arial" w:hAnsi="Arial" w:cs="Arial"/>
          <w:sz w:val="20"/>
          <w:szCs w:val="20"/>
          <w:lang w:eastAsia="zh-TW"/>
        </w:rPr>
        <w:t>December 31</w:t>
      </w:r>
      <w:r w:rsidRPr="00DD4D89">
        <w:rPr>
          <w:rFonts w:ascii="Arial" w:hAnsi="Arial" w:cs="Arial"/>
          <w:sz w:val="20"/>
          <w:szCs w:val="20"/>
          <w:lang w:eastAsia="zh-TW"/>
        </w:rPr>
        <w:t>, 2020, net cash provided - $</w:t>
      </w:r>
      <w:r w:rsidR="00DD4D89" w:rsidRPr="00DD4D89">
        <w:rPr>
          <w:rFonts w:ascii="Arial" w:hAnsi="Arial" w:cs="Arial"/>
          <w:sz w:val="20"/>
          <w:szCs w:val="20"/>
          <w:lang w:eastAsia="zh-TW"/>
        </w:rPr>
        <w:t>567,645</w:t>
      </w:r>
      <w:r w:rsidRPr="00DD4D89">
        <w:rPr>
          <w:rFonts w:ascii="Arial" w:hAnsi="Arial" w:cs="Arial"/>
          <w:sz w:val="20"/>
          <w:szCs w:val="20"/>
          <w:lang w:eastAsia="zh-TW"/>
        </w:rPr>
        <w:t xml:space="preserve">). The significant increase during the </w:t>
      </w:r>
      <w:r w:rsidR="00DD4D89" w:rsidRPr="00DD4D89">
        <w:rPr>
          <w:rFonts w:ascii="Arial" w:hAnsi="Arial" w:cs="Arial"/>
          <w:sz w:val="20"/>
          <w:szCs w:val="20"/>
          <w:lang w:eastAsia="zh-TW"/>
        </w:rPr>
        <w:t>year</w:t>
      </w:r>
      <w:r w:rsidRPr="00DD4D89">
        <w:rPr>
          <w:rFonts w:ascii="Arial" w:hAnsi="Arial" w:cs="Arial"/>
          <w:sz w:val="20"/>
          <w:szCs w:val="20"/>
          <w:lang w:eastAsia="zh-TW"/>
        </w:rPr>
        <w:t xml:space="preserve"> ended </w:t>
      </w:r>
      <w:r w:rsidR="00DD4D89" w:rsidRPr="00DD4D89">
        <w:rPr>
          <w:rFonts w:ascii="Arial" w:hAnsi="Arial" w:cs="Arial"/>
          <w:sz w:val="20"/>
          <w:szCs w:val="20"/>
          <w:lang w:eastAsia="zh-TW"/>
        </w:rPr>
        <w:t>December 31</w:t>
      </w:r>
      <w:r w:rsidRPr="00DD4D89">
        <w:rPr>
          <w:rFonts w:ascii="Arial" w:hAnsi="Arial" w:cs="Arial"/>
          <w:sz w:val="20"/>
          <w:szCs w:val="20"/>
          <w:lang w:eastAsia="zh-TW"/>
        </w:rPr>
        <w:t xml:space="preserve">, </w:t>
      </w:r>
      <w:proofErr w:type="gramStart"/>
      <w:r w:rsidRPr="00DD4D89">
        <w:rPr>
          <w:rFonts w:ascii="Arial" w:hAnsi="Arial" w:cs="Arial"/>
          <w:sz w:val="20"/>
          <w:szCs w:val="20"/>
          <w:lang w:eastAsia="zh-TW"/>
        </w:rPr>
        <w:t>2021</w:t>
      </w:r>
      <w:proofErr w:type="gramEnd"/>
      <w:r w:rsidRPr="00DD4D89">
        <w:rPr>
          <w:rFonts w:ascii="Arial" w:hAnsi="Arial" w:cs="Arial"/>
          <w:sz w:val="20"/>
          <w:szCs w:val="20"/>
          <w:lang w:eastAsia="zh-TW"/>
        </w:rPr>
        <w:t xml:space="preserve"> as compared to the </w:t>
      </w:r>
      <w:r w:rsidR="00DD4D89" w:rsidRPr="00DD4D89">
        <w:rPr>
          <w:rFonts w:ascii="Arial" w:hAnsi="Arial" w:cs="Arial"/>
          <w:sz w:val="20"/>
          <w:szCs w:val="20"/>
          <w:lang w:eastAsia="zh-TW"/>
        </w:rPr>
        <w:t>year</w:t>
      </w:r>
      <w:r w:rsidRPr="00DD4D89">
        <w:rPr>
          <w:rFonts w:ascii="Arial" w:hAnsi="Arial" w:cs="Arial"/>
          <w:sz w:val="20"/>
          <w:szCs w:val="20"/>
          <w:lang w:eastAsia="zh-TW"/>
        </w:rPr>
        <w:t xml:space="preserve"> ended </w:t>
      </w:r>
      <w:r w:rsidR="00DD4D89" w:rsidRPr="00DD4D89">
        <w:rPr>
          <w:rFonts w:ascii="Arial" w:hAnsi="Arial" w:cs="Arial"/>
          <w:sz w:val="20"/>
          <w:szCs w:val="20"/>
          <w:lang w:eastAsia="zh-TW"/>
        </w:rPr>
        <w:t>December 31</w:t>
      </w:r>
      <w:r w:rsidRPr="00C9106D">
        <w:rPr>
          <w:rFonts w:ascii="Arial" w:hAnsi="Arial" w:cs="Arial"/>
          <w:sz w:val="20"/>
          <w:szCs w:val="20"/>
          <w:lang w:eastAsia="zh-TW"/>
        </w:rPr>
        <w:t>, 2020 is mainly due to the increase in net income for the period</w:t>
      </w:r>
      <w:r w:rsidR="00DD4D89" w:rsidRPr="00C9106D">
        <w:rPr>
          <w:rFonts w:ascii="Arial" w:hAnsi="Arial" w:cs="Arial"/>
          <w:sz w:val="20"/>
          <w:szCs w:val="20"/>
          <w:lang w:eastAsia="zh-TW"/>
        </w:rPr>
        <w:t xml:space="preserve"> and corporate income taxes payable</w:t>
      </w:r>
      <w:r w:rsidRPr="00C9106D">
        <w:rPr>
          <w:rFonts w:ascii="Arial" w:hAnsi="Arial" w:cs="Arial"/>
          <w:sz w:val="20"/>
          <w:szCs w:val="20"/>
          <w:lang w:eastAsia="zh-TW"/>
        </w:rPr>
        <w:t>.</w:t>
      </w:r>
    </w:p>
    <w:p w14:paraId="50F4C8E0" w14:textId="77777777" w:rsidR="00666122" w:rsidRPr="00C9106D" w:rsidRDefault="00666122" w:rsidP="00666122">
      <w:pPr>
        <w:jc w:val="both"/>
        <w:rPr>
          <w:rFonts w:ascii="Arial" w:hAnsi="Arial" w:cs="Arial"/>
          <w:sz w:val="20"/>
          <w:szCs w:val="20"/>
          <w:lang w:eastAsia="zh-TW"/>
        </w:rPr>
      </w:pPr>
    </w:p>
    <w:p w14:paraId="59CB2199" w14:textId="3A73AB89" w:rsidR="00666122" w:rsidRPr="00C9106D" w:rsidRDefault="00666122" w:rsidP="00666122">
      <w:pPr>
        <w:jc w:val="both"/>
        <w:rPr>
          <w:rFonts w:ascii="Arial" w:hAnsi="Arial" w:cs="Arial"/>
          <w:sz w:val="20"/>
          <w:szCs w:val="20"/>
          <w:lang w:eastAsia="zh-TW"/>
        </w:rPr>
      </w:pPr>
      <w:r w:rsidRPr="00C9106D">
        <w:rPr>
          <w:rFonts w:ascii="Arial" w:hAnsi="Arial" w:cs="Arial"/>
          <w:sz w:val="20"/>
          <w:szCs w:val="20"/>
          <w:lang w:eastAsia="zh-TW"/>
        </w:rPr>
        <w:t xml:space="preserve">Net cash used in investing activities for the </w:t>
      </w:r>
      <w:r w:rsidR="003F79E4" w:rsidRPr="00C9106D">
        <w:rPr>
          <w:rFonts w:ascii="Arial" w:hAnsi="Arial" w:cs="Arial"/>
          <w:sz w:val="20"/>
          <w:szCs w:val="20"/>
          <w:lang w:eastAsia="zh-TW"/>
        </w:rPr>
        <w:t>year</w:t>
      </w:r>
      <w:r w:rsidRPr="00C9106D">
        <w:rPr>
          <w:rFonts w:ascii="Arial" w:hAnsi="Arial" w:cs="Arial"/>
          <w:sz w:val="20"/>
          <w:szCs w:val="20"/>
          <w:lang w:eastAsia="zh-TW"/>
        </w:rPr>
        <w:t xml:space="preserve"> ended </w:t>
      </w:r>
      <w:r w:rsidR="003F79E4" w:rsidRPr="00C9106D">
        <w:rPr>
          <w:rFonts w:ascii="Arial" w:hAnsi="Arial" w:cs="Arial"/>
          <w:sz w:val="20"/>
          <w:szCs w:val="20"/>
          <w:lang w:eastAsia="zh-TW"/>
        </w:rPr>
        <w:t>December 31</w:t>
      </w:r>
      <w:r w:rsidRPr="00C9106D">
        <w:rPr>
          <w:rFonts w:ascii="Arial" w:hAnsi="Arial" w:cs="Arial"/>
          <w:sz w:val="20"/>
          <w:szCs w:val="20"/>
          <w:lang w:eastAsia="zh-TW"/>
        </w:rPr>
        <w:t xml:space="preserve">, </w:t>
      </w:r>
      <w:proofErr w:type="gramStart"/>
      <w:r w:rsidRPr="00C9106D">
        <w:rPr>
          <w:rFonts w:ascii="Arial" w:hAnsi="Arial" w:cs="Arial"/>
          <w:sz w:val="20"/>
          <w:szCs w:val="20"/>
          <w:lang w:eastAsia="zh-TW"/>
        </w:rPr>
        <w:t>2021</w:t>
      </w:r>
      <w:proofErr w:type="gramEnd"/>
      <w:r w:rsidRPr="00C9106D">
        <w:rPr>
          <w:rFonts w:ascii="Arial" w:hAnsi="Arial" w:cs="Arial"/>
          <w:sz w:val="20"/>
          <w:szCs w:val="20"/>
          <w:lang w:eastAsia="zh-TW"/>
        </w:rPr>
        <w:t xml:space="preserve"> was $</w:t>
      </w:r>
      <w:r w:rsidR="003F79E4" w:rsidRPr="00C9106D">
        <w:rPr>
          <w:rFonts w:ascii="Arial" w:hAnsi="Arial" w:cs="Arial"/>
          <w:sz w:val="20"/>
          <w:szCs w:val="20"/>
          <w:lang w:eastAsia="zh-TW"/>
        </w:rPr>
        <w:t>1,209,166</w:t>
      </w:r>
      <w:r w:rsidRPr="00C9106D">
        <w:rPr>
          <w:rFonts w:ascii="Arial" w:hAnsi="Arial" w:cs="Arial"/>
          <w:sz w:val="20"/>
          <w:szCs w:val="20"/>
          <w:lang w:eastAsia="zh-TW"/>
        </w:rPr>
        <w:t xml:space="preserve"> (</w:t>
      </w:r>
      <w:r w:rsidR="003F79E4" w:rsidRPr="00C9106D">
        <w:rPr>
          <w:rFonts w:ascii="Arial" w:hAnsi="Arial" w:cs="Arial"/>
          <w:sz w:val="20"/>
          <w:szCs w:val="20"/>
          <w:lang w:eastAsia="zh-TW"/>
        </w:rPr>
        <w:t xml:space="preserve">year </w:t>
      </w:r>
      <w:r w:rsidRPr="00C9106D">
        <w:rPr>
          <w:rFonts w:ascii="Arial" w:hAnsi="Arial" w:cs="Arial"/>
          <w:sz w:val="20"/>
          <w:szCs w:val="20"/>
          <w:lang w:eastAsia="zh-TW"/>
        </w:rPr>
        <w:t xml:space="preserve">ended </w:t>
      </w:r>
      <w:r w:rsidR="003F79E4" w:rsidRPr="00C9106D">
        <w:rPr>
          <w:rFonts w:ascii="Arial" w:hAnsi="Arial" w:cs="Arial"/>
          <w:sz w:val="20"/>
          <w:szCs w:val="20"/>
          <w:lang w:eastAsia="zh-TW"/>
        </w:rPr>
        <w:t>December 31</w:t>
      </w:r>
      <w:r w:rsidRPr="00C9106D">
        <w:rPr>
          <w:rFonts w:ascii="Arial" w:hAnsi="Arial" w:cs="Arial"/>
          <w:sz w:val="20"/>
          <w:szCs w:val="20"/>
          <w:lang w:eastAsia="zh-TW"/>
        </w:rPr>
        <w:t>, 2020 – $</w:t>
      </w:r>
      <w:r w:rsidR="003F79E4" w:rsidRPr="00C9106D">
        <w:rPr>
          <w:rFonts w:ascii="Arial" w:hAnsi="Arial" w:cs="Arial"/>
          <w:sz w:val="20"/>
          <w:szCs w:val="20"/>
          <w:lang w:eastAsia="zh-TW"/>
        </w:rPr>
        <w:t>735,233</w:t>
      </w:r>
      <w:r w:rsidRPr="00C9106D">
        <w:rPr>
          <w:rFonts w:ascii="Arial" w:hAnsi="Arial" w:cs="Arial"/>
          <w:sz w:val="20"/>
          <w:szCs w:val="20"/>
          <w:lang w:eastAsia="zh-TW"/>
        </w:rPr>
        <w:t xml:space="preserve">). </w:t>
      </w:r>
      <w:r w:rsidR="002A587A" w:rsidRPr="00C9106D">
        <w:rPr>
          <w:rFonts w:ascii="Arial" w:hAnsi="Arial" w:cs="Arial"/>
          <w:sz w:val="20"/>
          <w:szCs w:val="20"/>
          <w:lang w:eastAsia="zh-TW"/>
        </w:rPr>
        <w:t xml:space="preserve">The increase in cash used in investing activities during the </w:t>
      </w:r>
      <w:r w:rsidR="00C9106D" w:rsidRPr="00C9106D">
        <w:rPr>
          <w:rFonts w:ascii="Arial" w:hAnsi="Arial" w:cs="Arial"/>
          <w:sz w:val="20"/>
          <w:szCs w:val="20"/>
          <w:lang w:eastAsia="zh-TW"/>
        </w:rPr>
        <w:t>year</w:t>
      </w:r>
      <w:r w:rsidR="002A587A" w:rsidRPr="00C9106D">
        <w:rPr>
          <w:rFonts w:ascii="Arial" w:hAnsi="Arial" w:cs="Arial"/>
          <w:sz w:val="20"/>
          <w:szCs w:val="20"/>
          <w:lang w:eastAsia="zh-TW"/>
        </w:rPr>
        <w:t xml:space="preserve"> ended </w:t>
      </w:r>
      <w:r w:rsidR="00C9106D" w:rsidRPr="00C9106D">
        <w:rPr>
          <w:rFonts w:ascii="Arial" w:hAnsi="Arial" w:cs="Arial"/>
          <w:sz w:val="20"/>
          <w:szCs w:val="20"/>
          <w:lang w:eastAsia="zh-TW"/>
        </w:rPr>
        <w:t>December 31,</w:t>
      </w:r>
      <w:r w:rsidR="002A587A" w:rsidRPr="00C9106D">
        <w:rPr>
          <w:rFonts w:ascii="Arial" w:hAnsi="Arial" w:cs="Arial"/>
          <w:sz w:val="20"/>
          <w:szCs w:val="20"/>
          <w:lang w:eastAsia="zh-TW"/>
        </w:rPr>
        <w:t xml:space="preserve"> </w:t>
      </w:r>
      <w:proofErr w:type="gramStart"/>
      <w:r w:rsidR="002A587A" w:rsidRPr="00C9106D">
        <w:rPr>
          <w:rFonts w:ascii="Arial" w:hAnsi="Arial" w:cs="Arial"/>
          <w:sz w:val="20"/>
          <w:szCs w:val="20"/>
          <w:lang w:eastAsia="zh-TW"/>
        </w:rPr>
        <w:t>2021</w:t>
      </w:r>
      <w:proofErr w:type="gramEnd"/>
      <w:r w:rsidR="002A587A" w:rsidRPr="00C9106D">
        <w:rPr>
          <w:rFonts w:ascii="Arial" w:hAnsi="Arial" w:cs="Arial"/>
          <w:sz w:val="20"/>
          <w:szCs w:val="20"/>
          <w:lang w:eastAsia="zh-TW"/>
        </w:rPr>
        <w:t xml:space="preserve"> compared to the </w:t>
      </w:r>
      <w:r w:rsidR="00C9106D" w:rsidRPr="00C9106D">
        <w:rPr>
          <w:rFonts w:ascii="Arial" w:hAnsi="Arial" w:cs="Arial"/>
          <w:sz w:val="20"/>
          <w:szCs w:val="20"/>
          <w:lang w:eastAsia="zh-TW"/>
        </w:rPr>
        <w:t>year</w:t>
      </w:r>
      <w:r w:rsidR="002A587A" w:rsidRPr="00C9106D">
        <w:rPr>
          <w:rFonts w:ascii="Arial" w:hAnsi="Arial" w:cs="Arial"/>
          <w:sz w:val="20"/>
          <w:szCs w:val="20"/>
          <w:lang w:eastAsia="zh-TW"/>
        </w:rPr>
        <w:t xml:space="preserve"> ended </w:t>
      </w:r>
      <w:r w:rsidR="00C9106D" w:rsidRPr="00C9106D">
        <w:rPr>
          <w:rFonts w:ascii="Arial" w:hAnsi="Arial" w:cs="Arial"/>
          <w:sz w:val="20"/>
          <w:szCs w:val="20"/>
          <w:lang w:eastAsia="zh-TW"/>
        </w:rPr>
        <w:t>December 31</w:t>
      </w:r>
      <w:r w:rsidR="002A587A" w:rsidRPr="00C9106D">
        <w:rPr>
          <w:rFonts w:ascii="Arial" w:hAnsi="Arial" w:cs="Arial"/>
          <w:sz w:val="20"/>
          <w:szCs w:val="20"/>
          <w:lang w:eastAsia="zh-TW"/>
        </w:rPr>
        <w:t xml:space="preserve">, 2020 was due to </w:t>
      </w:r>
      <w:r w:rsidRPr="00C9106D">
        <w:rPr>
          <w:rFonts w:ascii="Arial" w:hAnsi="Arial" w:cs="Arial"/>
          <w:sz w:val="20"/>
          <w:szCs w:val="20"/>
          <w:lang w:eastAsia="zh-TW"/>
        </w:rPr>
        <w:t xml:space="preserve">the manufacturing equipment acquired at the end of January 2021 for $958,160 plus taxes. </w:t>
      </w:r>
    </w:p>
    <w:p w14:paraId="60D4DDD2" w14:textId="77777777" w:rsidR="00666122" w:rsidRPr="00114D2F" w:rsidRDefault="00666122" w:rsidP="00666122">
      <w:pPr>
        <w:jc w:val="both"/>
        <w:rPr>
          <w:rFonts w:ascii="Arial" w:hAnsi="Arial" w:cs="Arial"/>
          <w:sz w:val="20"/>
          <w:szCs w:val="20"/>
          <w:lang w:eastAsia="zh-TW"/>
        </w:rPr>
      </w:pPr>
    </w:p>
    <w:p w14:paraId="614EA910" w14:textId="195F5937" w:rsidR="00666122" w:rsidRPr="00114D2F" w:rsidRDefault="00666122" w:rsidP="00666122">
      <w:pPr>
        <w:jc w:val="both"/>
        <w:rPr>
          <w:rFonts w:ascii="Arial" w:hAnsi="Arial" w:cs="Arial"/>
          <w:sz w:val="20"/>
          <w:szCs w:val="20"/>
          <w:lang w:eastAsia="zh-TW"/>
        </w:rPr>
      </w:pPr>
      <w:r w:rsidRPr="00114D2F">
        <w:rPr>
          <w:rFonts w:ascii="Arial" w:hAnsi="Arial" w:cs="Arial"/>
          <w:sz w:val="20"/>
          <w:szCs w:val="20"/>
          <w:lang w:eastAsia="zh-TW"/>
        </w:rPr>
        <w:t xml:space="preserve">Cash used in financing activities for the </w:t>
      </w:r>
      <w:r w:rsidR="00C9106D" w:rsidRPr="00114D2F">
        <w:rPr>
          <w:rFonts w:ascii="Arial" w:hAnsi="Arial" w:cs="Arial"/>
          <w:sz w:val="20"/>
          <w:szCs w:val="20"/>
          <w:lang w:eastAsia="zh-TW"/>
        </w:rPr>
        <w:t>year</w:t>
      </w:r>
      <w:r w:rsidRPr="00114D2F">
        <w:rPr>
          <w:rFonts w:ascii="Arial" w:hAnsi="Arial" w:cs="Arial"/>
          <w:sz w:val="20"/>
          <w:szCs w:val="20"/>
          <w:lang w:eastAsia="zh-TW"/>
        </w:rPr>
        <w:t xml:space="preserve"> ended </w:t>
      </w:r>
      <w:r w:rsidR="00C9106D" w:rsidRPr="00114D2F">
        <w:rPr>
          <w:rFonts w:ascii="Arial" w:hAnsi="Arial" w:cs="Arial"/>
          <w:sz w:val="20"/>
          <w:szCs w:val="20"/>
          <w:lang w:eastAsia="zh-TW"/>
        </w:rPr>
        <w:t>December 31</w:t>
      </w:r>
      <w:r w:rsidRPr="00114D2F">
        <w:rPr>
          <w:rFonts w:ascii="Arial" w:hAnsi="Arial" w:cs="Arial"/>
          <w:sz w:val="20"/>
          <w:szCs w:val="20"/>
          <w:lang w:eastAsia="zh-TW"/>
        </w:rPr>
        <w:t xml:space="preserve">, </w:t>
      </w:r>
      <w:proofErr w:type="gramStart"/>
      <w:r w:rsidRPr="00114D2F">
        <w:rPr>
          <w:rFonts w:ascii="Arial" w:hAnsi="Arial" w:cs="Arial"/>
          <w:sz w:val="20"/>
          <w:szCs w:val="20"/>
          <w:lang w:eastAsia="zh-TW"/>
        </w:rPr>
        <w:t>2021</w:t>
      </w:r>
      <w:proofErr w:type="gramEnd"/>
      <w:r w:rsidRPr="00114D2F">
        <w:rPr>
          <w:rFonts w:ascii="Arial" w:hAnsi="Arial" w:cs="Arial"/>
          <w:sz w:val="20"/>
          <w:szCs w:val="20"/>
          <w:lang w:eastAsia="zh-TW"/>
        </w:rPr>
        <w:t xml:space="preserve"> was $</w:t>
      </w:r>
      <w:r w:rsidR="00C9106D" w:rsidRPr="00114D2F">
        <w:rPr>
          <w:rFonts w:ascii="Arial" w:hAnsi="Arial" w:cs="Arial"/>
          <w:sz w:val="20"/>
          <w:szCs w:val="20"/>
          <w:lang w:eastAsia="zh-TW"/>
        </w:rPr>
        <w:t>1,239,178</w:t>
      </w:r>
      <w:r w:rsidRPr="00114D2F">
        <w:rPr>
          <w:rFonts w:ascii="Arial" w:hAnsi="Arial" w:cs="Arial"/>
          <w:sz w:val="20"/>
          <w:szCs w:val="20"/>
          <w:lang w:eastAsia="zh-TW"/>
        </w:rPr>
        <w:t xml:space="preserve"> (</w:t>
      </w:r>
      <w:r w:rsidR="00C9106D" w:rsidRPr="00114D2F">
        <w:rPr>
          <w:rFonts w:ascii="Arial" w:hAnsi="Arial" w:cs="Arial"/>
          <w:sz w:val="20"/>
          <w:szCs w:val="20"/>
          <w:lang w:eastAsia="zh-TW"/>
        </w:rPr>
        <w:t>year</w:t>
      </w:r>
      <w:r w:rsidRPr="00114D2F">
        <w:rPr>
          <w:rFonts w:ascii="Arial" w:hAnsi="Arial" w:cs="Arial"/>
          <w:sz w:val="20"/>
          <w:szCs w:val="20"/>
          <w:lang w:eastAsia="zh-TW"/>
        </w:rPr>
        <w:t xml:space="preserve"> ended </w:t>
      </w:r>
      <w:r w:rsidR="00C9106D" w:rsidRPr="00114D2F">
        <w:rPr>
          <w:rFonts w:ascii="Arial" w:hAnsi="Arial" w:cs="Arial"/>
          <w:sz w:val="20"/>
          <w:szCs w:val="20"/>
          <w:lang w:eastAsia="zh-TW"/>
        </w:rPr>
        <w:t>December 31</w:t>
      </w:r>
      <w:r w:rsidRPr="00114D2F">
        <w:rPr>
          <w:rFonts w:ascii="Arial" w:hAnsi="Arial" w:cs="Arial"/>
          <w:sz w:val="20"/>
          <w:szCs w:val="20"/>
          <w:lang w:eastAsia="zh-TW"/>
        </w:rPr>
        <w:t xml:space="preserve">, 2020, </w:t>
      </w:r>
      <w:r w:rsidR="00C9106D" w:rsidRPr="00114D2F">
        <w:rPr>
          <w:rFonts w:ascii="Arial" w:hAnsi="Arial" w:cs="Arial"/>
          <w:sz w:val="20"/>
          <w:szCs w:val="20"/>
          <w:lang w:eastAsia="zh-TW"/>
        </w:rPr>
        <w:t>provided by</w:t>
      </w:r>
      <w:r w:rsidRPr="00114D2F">
        <w:rPr>
          <w:rFonts w:ascii="Arial" w:hAnsi="Arial" w:cs="Arial"/>
          <w:sz w:val="20"/>
          <w:szCs w:val="20"/>
          <w:lang w:eastAsia="zh-TW"/>
        </w:rPr>
        <w:t xml:space="preserve"> – $</w:t>
      </w:r>
      <w:r w:rsidR="00C9106D" w:rsidRPr="00114D2F">
        <w:rPr>
          <w:rFonts w:ascii="Arial" w:hAnsi="Arial" w:cs="Arial"/>
          <w:sz w:val="20"/>
          <w:szCs w:val="20"/>
          <w:lang w:eastAsia="zh-TW"/>
        </w:rPr>
        <w:t>227,172</w:t>
      </w:r>
      <w:r w:rsidRPr="00114D2F">
        <w:rPr>
          <w:rFonts w:ascii="Arial" w:hAnsi="Arial" w:cs="Arial"/>
          <w:sz w:val="20"/>
          <w:szCs w:val="20"/>
          <w:lang w:eastAsia="zh-TW"/>
        </w:rPr>
        <w:t>)</w:t>
      </w:r>
      <w:r w:rsidR="00C9106D" w:rsidRPr="00114D2F">
        <w:rPr>
          <w:rFonts w:ascii="Arial" w:hAnsi="Arial" w:cs="Arial"/>
          <w:sz w:val="20"/>
          <w:szCs w:val="20"/>
          <w:lang w:eastAsia="zh-TW"/>
        </w:rPr>
        <w:t xml:space="preserve">. </w:t>
      </w:r>
      <w:r w:rsidRPr="00114D2F">
        <w:rPr>
          <w:rFonts w:ascii="Arial" w:hAnsi="Arial" w:cs="Arial"/>
          <w:sz w:val="20"/>
          <w:szCs w:val="20"/>
          <w:lang w:eastAsia="zh-TW"/>
        </w:rPr>
        <w:t xml:space="preserve">The change in cash used in financing activities for the </w:t>
      </w:r>
      <w:r w:rsidR="004648FC" w:rsidRPr="00114D2F">
        <w:rPr>
          <w:rFonts w:ascii="Arial" w:hAnsi="Arial" w:cs="Arial"/>
          <w:sz w:val="20"/>
          <w:szCs w:val="20"/>
          <w:lang w:eastAsia="zh-TW"/>
        </w:rPr>
        <w:t>year</w:t>
      </w:r>
      <w:r w:rsidRPr="00114D2F">
        <w:rPr>
          <w:rFonts w:ascii="Arial" w:hAnsi="Arial" w:cs="Arial"/>
          <w:sz w:val="20"/>
          <w:szCs w:val="20"/>
          <w:lang w:eastAsia="zh-TW"/>
        </w:rPr>
        <w:t xml:space="preserve"> ended </w:t>
      </w:r>
      <w:r w:rsidR="004648FC" w:rsidRPr="00114D2F">
        <w:rPr>
          <w:rFonts w:ascii="Arial" w:hAnsi="Arial" w:cs="Arial"/>
          <w:sz w:val="20"/>
          <w:szCs w:val="20"/>
          <w:lang w:eastAsia="zh-TW"/>
        </w:rPr>
        <w:t>December 31</w:t>
      </w:r>
      <w:r w:rsidRPr="00114D2F">
        <w:rPr>
          <w:rFonts w:ascii="Arial" w:hAnsi="Arial" w:cs="Arial"/>
          <w:sz w:val="20"/>
          <w:szCs w:val="20"/>
          <w:lang w:eastAsia="zh-TW"/>
        </w:rPr>
        <w:t xml:space="preserve">, </w:t>
      </w:r>
      <w:proofErr w:type="gramStart"/>
      <w:r w:rsidRPr="00114D2F">
        <w:rPr>
          <w:rFonts w:ascii="Arial" w:hAnsi="Arial" w:cs="Arial"/>
          <w:sz w:val="20"/>
          <w:szCs w:val="20"/>
          <w:lang w:eastAsia="zh-TW"/>
        </w:rPr>
        <w:t>2021</w:t>
      </w:r>
      <w:proofErr w:type="gramEnd"/>
      <w:r w:rsidRPr="00114D2F">
        <w:rPr>
          <w:rFonts w:ascii="Arial" w:hAnsi="Arial" w:cs="Arial"/>
          <w:sz w:val="20"/>
          <w:szCs w:val="20"/>
          <w:lang w:eastAsia="zh-TW"/>
        </w:rPr>
        <w:t xml:space="preserve"> </w:t>
      </w:r>
      <w:r w:rsidR="002A587A" w:rsidRPr="00114D2F">
        <w:rPr>
          <w:rFonts w:ascii="Arial" w:hAnsi="Arial" w:cs="Arial"/>
          <w:sz w:val="20"/>
          <w:szCs w:val="20"/>
          <w:lang w:eastAsia="zh-TW"/>
        </w:rPr>
        <w:t xml:space="preserve">compared to the </w:t>
      </w:r>
      <w:r w:rsidR="004648FC" w:rsidRPr="00114D2F">
        <w:rPr>
          <w:rFonts w:ascii="Arial" w:hAnsi="Arial" w:cs="Arial"/>
          <w:sz w:val="20"/>
          <w:szCs w:val="20"/>
          <w:lang w:eastAsia="zh-TW"/>
        </w:rPr>
        <w:t>year</w:t>
      </w:r>
      <w:r w:rsidR="002A587A" w:rsidRPr="00114D2F">
        <w:rPr>
          <w:rFonts w:ascii="Arial" w:hAnsi="Arial" w:cs="Arial"/>
          <w:sz w:val="20"/>
          <w:szCs w:val="20"/>
          <w:lang w:eastAsia="zh-TW"/>
        </w:rPr>
        <w:t xml:space="preserve"> ended </w:t>
      </w:r>
      <w:r w:rsidR="004648FC" w:rsidRPr="00114D2F">
        <w:rPr>
          <w:rFonts w:ascii="Arial" w:hAnsi="Arial" w:cs="Arial"/>
          <w:sz w:val="20"/>
          <w:szCs w:val="20"/>
          <w:lang w:eastAsia="zh-TW"/>
        </w:rPr>
        <w:t>December 31</w:t>
      </w:r>
      <w:r w:rsidR="002A587A" w:rsidRPr="00114D2F">
        <w:rPr>
          <w:rFonts w:ascii="Arial" w:hAnsi="Arial" w:cs="Arial"/>
          <w:sz w:val="20"/>
          <w:szCs w:val="20"/>
          <w:lang w:eastAsia="zh-TW"/>
        </w:rPr>
        <w:t xml:space="preserve">, 2020 </w:t>
      </w:r>
      <w:r w:rsidRPr="00114D2F">
        <w:rPr>
          <w:rFonts w:ascii="Arial" w:hAnsi="Arial" w:cs="Arial"/>
          <w:sz w:val="20"/>
          <w:szCs w:val="20"/>
          <w:lang w:eastAsia="zh-TW"/>
        </w:rPr>
        <w:t>was due to the closing of a private placement in the comparative period. The current period did not involve a private placement</w:t>
      </w:r>
      <w:r w:rsidR="00114D2F" w:rsidRPr="00114D2F">
        <w:rPr>
          <w:rFonts w:ascii="Arial" w:hAnsi="Arial" w:cs="Arial"/>
          <w:sz w:val="20"/>
          <w:szCs w:val="20"/>
          <w:lang w:eastAsia="zh-TW"/>
        </w:rPr>
        <w:t>.</w:t>
      </w:r>
    </w:p>
    <w:p w14:paraId="6282C197" w14:textId="09F84F6A" w:rsidR="0075420D" w:rsidRPr="00114D2F" w:rsidRDefault="0075420D" w:rsidP="00BA4FEB">
      <w:pPr>
        <w:pStyle w:val="Heading3"/>
        <w:ind w:left="0"/>
        <w:rPr>
          <w:rFonts w:ascii="Arial" w:hAnsi="Arial" w:cs="Arial"/>
          <w:sz w:val="20"/>
          <w:szCs w:val="20"/>
        </w:rPr>
      </w:pPr>
    </w:p>
    <w:p w14:paraId="4C3DD3E4" w14:textId="220BFCF9" w:rsidR="00387BCA" w:rsidRPr="00114D2F" w:rsidRDefault="00387BCA" w:rsidP="00387BCA">
      <w:pPr>
        <w:keepNext/>
        <w:adjustRightInd w:val="0"/>
        <w:jc w:val="both"/>
        <w:rPr>
          <w:rFonts w:ascii="Arial" w:hAnsi="Arial" w:cs="Arial"/>
          <w:b/>
          <w:bCs/>
          <w:sz w:val="20"/>
          <w:szCs w:val="20"/>
        </w:rPr>
      </w:pPr>
      <w:r w:rsidRPr="00114D2F">
        <w:rPr>
          <w:rFonts w:ascii="Arial" w:hAnsi="Arial" w:cs="Arial"/>
          <w:b/>
          <w:bCs/>
          <w:noProof/>
          <w:sz w:val="20"/>
          <w:szCs w:val="20"/>
        </w:rPr>
        <mc:AlternateContent>
          <mc:Choice Requires="wps">
            <w:drawing>
              <wp:anchor distT="0" distB="0" distL="114300" distR="114300" simplePos="0" relativeHeight="251675136" behindDoc="0" locked="0" layoutInCell="1" allowOverlap="1" wp14:anchorId="6205493C" wp14:editId="7FD767DF">
                <wp:simplePos x="0" y="0"/>
                <wp:positionH relativeFrom="page">
                  <wp:posOffset>823595</wp:posOffset>
                </wp:positionH>
                <wp:positionV relativeFrom="paragraph">
                  <wp:posOffset>201930</wp:posOffset>
                </wp:positionV>
                <wp:extent cx="6219825" cy="0"/>
                <wp:effectExtent l="13970" t="13970" r="5080" b="5080"/>
                <wp:wrapNone/>
                <wp:docPr id="29"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0A0C0" id="Line 538"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85pt,15.9pt" to="554.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" strokeweight=".48pt">
                <w10:wrap anchorx="page"/>
              </v:line>
            </w:pict>
          </mc:Fallback>
        </mc:AlternateContent>
      </w:r>
      <w:r w:rsidRPr="00114D2F">
        <w:rPr>
          <w:rFonts w:ascii="Arial" w:hAnsi="Arial" w:cs="Arial"/>
          <w:b/>
          <w:bCs/>
          <w:noProof/>
          <w:sz w:val="20"/>
          <w:szCs w:val="20"/>
        </w:rPr>
        <w:t>CAPITAL EXPENDITURES</w:t>
      </w:r>
    </w:p>
    <w:p w14:paraId="7AF69D81" w14:textId="77777777" w:rsidR="00387BCA" w:rsidRPr="00114D2F" w:rsidRDefault="00387BCA" w:rsidP="00387BCA">
      <w:pPr>
        <w:spacing w:line="218" w:lineRule="auto"/>
        <w:jc w:val="both"/>
        <w:rPr>
          <w:rFonts w:ascii="Arial" w:hAnsi="Arial" w:cs="Arial"/>
          <w:sz w:val="20"/>
          <w:szCs w:val="20"/>
        </w:rPr>
      </w:pPr>
    </w:p>
    <w:p w14:paraId="5BC67B11" w14:textId="5DDC0ED7" w:rsidR="00666122" w:rsidRPr="007D41E1" w:rsidRDefault="00666122" w:rsidP="00666122">
      <w:pPr>
        <w:keepNext/>
        <w:jc w:val="both"/>
        <w:rPr>
          <w:rFonts w:ascii="Arial" w:hAnsi="Arial" w:cs="Arial"/>
          <w:b/>
          <w:bCs/>
          <w:sz w:val="20"/>
          <w:szCs w:val="20"/>
          <w:lang w:val="en-CA" w:eastAsia="x-none"/>
        </w:rPr>
      </w:pPr>
      <w:r w:rsidRPr="00114D2F">
        <w:rPr>
          <w:rFonts w:ascii="Arial" w:hAnsi="Arial" w:cs="Arial"/>
          <w:sz w:val="20"/>
          <w:szCs w:val="20"/>
        </w:rPr>
        <w:t xml:space="preserve">During the </w:t>
      </w:r>
      <w:r w:rsidR="00114D2F" w:rsidRPr="00114D2F">
        <w:rPr>
          <w:rFonts w:ascii="Arial" w:hAnsi="Arial" w:cs="Arial"/>
          <w:sz w:val="20"/>
          <w:szCs w:val="20"/>
        </w:rPr>
        <w:t xml:space="preserve">year </w:t>
      </w:r>
      <w:r w:rsidRPr="00114D2F">
        <w:rPr>
          <w:rFonts w:ascii="Arial" w:hAnsi="Arial" w:cs="Arial"/>
          <w:sz w:val="20"/>
          <w:szCs w:val="20"/>
        </w:rPr>
        <w:t xml:space="preserve">ended </w:t>
      </w:r>
      <w:r w:rsidR="00114D2F" w:rsidRPr="00114D2F">
        <w:rPr>
          <w:rFonts w:ascii="Arial" w:hAnsi="Arial" w:cs="Arial"/>
          <w:sz w:val="20"/>
          <w:szCs w:val="20"/>
        </w:rPr>
        <w:t>December 31</w:t>
      </w:r>
      <w:r w:rsidRPr="00114D2F">
        <w:rPr>
          <w:rFonts w:ascii="Arial" w:hAnsi="Arial" w:cs="Arial"/>
          <w:sz w:val="20"/>
          <w:szCs w:val="20"/>
        </w:rPr>
        <w:t>, 2021, t</w:t>
      </w:r>
      <w:r w:rsidRPr="00114D2F">
        <w:rPr>
          <w:rFonts w:ascii="Arial" w:hAnsi="Arial" w:cs="Arial"/>
          <w:sz w:val="20"/>
          <w:szCs w:val="20"/>
          <w:lang w:val="en-GB"/>
        </w:rPr>
        <w:t>he Company used cash to acquire equipment of $</w:t>
      </w:r>
      <w:r w:rsidR="00114D2F" w:rsidRPr="00114D2F">
        <w:rPr>
          <w:rFonts w:ascii="Arial" w:hAnsi="Arial" w:cs="Arial"/>
          <w:sz w:val="20"/>
          <w:szCs w:val="20"/>
          <w:lang w:val="en-GB"/>
        </w:rPr>
        <w:t>1,323,129</w:t>
      </w:r>
      <w:r w:rsidRPr="00114D2F">
        <w:rPr>
          <w:rFonts w:ascii="Arial" w:hAnsi="Arial" w:cs="Arial"/>
          <w:sz w:val="20"/>
          <w:szCs w:val="20"/>
          <w:lang w:val="en-GB"/>
        </w:rPr>
        <w:t>, (</w:t>
      </w:r>
      <w:r w:rsidR="00114D2F" w:rsidRPr="00114D2F">
        <w:rPr>
          <w:rFonts w:ascii="Arial" w:hAnsi="Arial" w:cs="Arial"/>
          <w:sz w:val="20"/>
          <w:szCs w:val="20"/>
          <w:lang w:val="en-GB"/>
        </w:rPr>
        <w:t>year</w:t>
      </w:r>
      <w:r w:rsidRPr="00114D2F">
        <w:rPr>
          <w:rFonts w:ascii="Arial" w:hAnsi="Arial" w:cs="Arial"/>
          <w:sz w:val="20"/>
          <w:szCs w:val="20"/>
          <w:lang w:val="en-GB"/>
        </w:rPr>
        <w:t xml:space="preserve"> ended </w:t>
      </w:r>
      <w:r w:rsidR="00114D2F" w:rsidRPr="00114D2F">
        <w:rPr>
          <w:rFonts w:ascii="Arial" w:hAnsi="Arial" w:cs="Arial"/>
          <w:sz w:val="20"/>
          <w:szCs w:val="20"/>
          <w:lang w:val="en-GB"/>
        </w:rPr>
        <w:t>December 31</w:t>
      </w:r>
      <w:r w:rsidRPr="00114D2F">
        <w:rPr>
          <w:rFonts w:ascii="Arial" w:hAnsi="Arial" w:cs="Arial"/>
          <w:sz w:val="20"/>
          <w:szCs w:val="20"/>
          <w:lang w:val="en-GB"/>
        </w:rPr>
        <w:t>, 2020 - $</w:t>
      </w:r>
      <w:r w:rsidR="00114D2F" w:rsidRPr="00114D2F">
        <w:rPr>
          <w:rFonts w:ascii="Arial" w:hAnsi="Arial" w:cs="Arial"/>
          <w:sz w:val="20"/>
          <w:szCs w:val="20"/>
          <w:lang w:val="en-GB"/>
        </w:rPr>
        <w:t>342,842</w:t>
      </w:r>
      <w:r w:rsidRPr="00114D2F">
        <w:rPr>
          <w:rFonts w:ascii="Arial" w:hAnsi="Arial" w:cs="Arial"/>
          <w:sz w:val="20"/>
          <w:szCs w:val="20"/>
          <w:lang w:val="en-GB"/>
        </w:rPr>
        <w:t xml:space="preserve">). Overall buildings and equipment increased </w:t>
      </w:r>
      <w:r w:rsidR="003A67C7" w:rsidRPr="00114D2F">
        <w:rPr>
          <w:rFonts w:ascii="Arial" w:hAnsi="Arial" w:cs="Arial"/>
          <w:sz w:val="20"/>
          <w:szCs w:val="20"/>
          <w:lang w:val="en-GB"/>
        </w:rPr>
        <w:t xml:space="preserve">in the </w:t>
      </w:r>
      <w:r w:rsidR="00114D2F" w:rsidRPr="00114D2F">
        <w:rPr>
          <w:rFonts w:ascii="Arial" w:hAnsi="Arial" w:cs="Arial"/>
          <w:sz w:val="20"/>
          <w:szCs w:val="20"/>
          <w:lang w:val="en-GB"/>
        </w:rPr>
        <w:t>year</w:t>
      </w:r>
      <w:r w:rsidR="003A67C7" w:rsidRPr="00114D2F">
        <w:rPr>
          <w:rFonts w:ascii="Arial" w:hAnsi="Arial" w:cs="Arial"/>
          <w:sz w:val="20"/>
          <w:szCs w:val="20"/>
          <w:lang w:val="en-GB"/>
        </w:rPr>
        <w:t xml:space="preserve"> ended </w:t>
      </w:r>
      <w:r w:rsidR="00114D2F" w:rsidRPr="00114D2F">
        <w:rPr>
          <w:rFonts w:ascii="Arial" w:hAnsi="Arial" w:cs="Arial"/>
          <w:sz w:val="20"/>
          <w:szCs w:val="20"/>
          <w:lang w:val="en-GB"/>
        </w:rPr>
        <w:t>December 31</w:t>
      </w:r>
      <w:r w:rsidR="003A67C7" w:rsidRPr="00114D2F">
        <w:rPr>
          <w:rFonts w:ascii="Arial" w:hAnsi="Arial" w:cs="Arial"/>
          <w:sz w:val="20"/>
          <w:szCs w:val="20"/>
          <w:lang w:val="en-GB"/>
        </w:rPr>
        <w:t xml:space="preserve">, </w:t>
      </w:r>
      <w:proofErr w:type="gramStart"/>
      <w:r w:rsidR="003A67C7" w:rsidRPr="00114D2F">
        <w:rPr>
          <w:rFonts w:ascii="Arial" w:hAnsi="Arial" w:cs="Arial"/>
          <w:sz w:val="20"/>
          <w:szCs w:val="20"/>
          <w:lang w:val="en-GB"/>
        </w:rPr>
        <w:t>2021</w:t>
      </w:r>
      <w:proofErr w:type="gramEnd"/>
      <w:r w:rsidR="003A67C7" w:rsidRPr="00114D2F">
        <w:rPr>
          <w:rFonts w:ascii="Arial" w:hAnsi="Arial" w:cs="Arial"/>
          <w:sz w:val="20"/>
          <w:szCs w:val="20"/>
          <w:lang w:val="en-GB"/>
        </w:rPr>
        <w:t xml:space="preserve"> </w:t>
      </w:r>
      <w:r w:rsidRPr="00114D2F">
        <w:rPr>
          <w:rFonts w:ascii="Arial" w:hAnsi="Arial" w:cs="Arial"/>
          <w:sz w:val="20"/>
          <w:szCs w:val="20"/>
          <w:lang w:val="en-GB"/>
        </w:rPr>
        <w:t xml:space="preserve">compared to the </w:t>
      </w:r>
      <w:r w:rsidR="00114D2F" w:rsidRPr="00114D2F">
        <w:rPr>
          <w:rFonts w:ascii="Arial" w:hAnsi="Arial" w:cs="Arial"/>
          <w:sz w:val="20"/>
          <w:szCs w:val="20"/>
          <w:lang w:val="en-GB"/>
        </w:rPr>
        <w:t>year</w:t>
      </w:r>
      <w:r w:rsidRPr="00114D2F">
        <w:rPr>
          <w:rFonts w:ascii="Arial" w:hAnsi="Arial" w:cs="Arial"/>
          <w:sz w:val="20"/>
          <w:szCs w:val="20"/>
          <w:lang w:val="en-GB"/>
        </w:rPr>
        <w:t xml:space="preserve"> ended </w:t>
      </w:r>
      <w:r w:rsidR="00114D2F" w:rsidRPr="00114D2F">
        <w:rPr>
          <w:rFonts w:ascii="Arial" w:hAnsi="Arial" w:cs="Arial"/>
          <w:sz w:val="20"/>
          <w:szCs w:val="20"/>
          <w:lang w:val="en-GB"/>
        </w:rPr>
        <w:t>December 31</w:t>
      </w:r>
      <w:r w:rsidRPr="00114D2F">
        <w:rPr>
          <w:rFonts w:ascii="Arial" w:hAnsi="Arial" w:cs="Arial"/>
          <w:sz w:val="20"/>
          <w:szCs w:val="20"/>
          <w:lang w:val="en-GB"/>
        </w:rPr>
        <w:t>, 2020 due to the manufacturing equipment purchased for $958,160 plus taxes and some IT upgrades at some locations.</w:t>
      </w:r>
      <w:r w:rsidRPr="007D41E1">
        <w:rPr>
          <w:rFonts w:ascii="Arial" w:hAnsi="Arial" w:cs="Arial"/>
          <w:sz w:val="20"/>
          <w:szCs w:val="20"/>
          <w:lang w:val="en-GB"/>
        </w:rPr>
        <w:t xml:space="preserve"> </w:t>
      </w:r>
    </w:p>
    <w:p w14:paraId="3A639C17" w14:textId="77777777" w:rsidR="0075420D" w:rsidRPr="008F20BA" w:rsidRDefault="0075420D" w:rsidP="0075420D">
      <w:pPr>
        <w:keepNext/>
        <w:jc w:val="both"/>
        <w:rPr>
          <w:rFonts w:ascii="Arial" w:hAnsi="Arial" w:cs="Arial"/>
          <w:b/>
          <w:bCs/>
          <w:sz w:val="20"/>
          <w:szCs w:val="20"/>
          <w:highlight w:val="yellow"/>
          <w:lang w:val="en-CA" w:eastAsia="x-none"/>
        </w:rPr>
      </w:pPr>
    </w:p>
    <w:p w14:paraId="5466E310" w14:textId="24BE7A08" w:rsidR="00387BCA" w:rsidRPr="001728ED" w:rsidRDefault="00387BCA" w:rsidP="00387BCA">
      <w:pPr>
        <w:keepNext/>
        <w:adjustRightInd w:val="0"/>
        <w:jc w:val="both"/>
        <w:rPr>
          <w:rFonts w:ascii="Arial" w:hAnsi="Arial" w:cs="Arial"/>
          <w:b/>
          <w:bCs/>
          <w:sz w:val="20"/>
          <w:szCs w:val="20"/>
        </w:rPr>
      </w:pPr>
      <w:r w:rsidRPr="001728ED">
        <w:rPr>
          <w:rFonts w:ascii="Arial" w:hAnsi="Arial" w:cs="Arial"/>
          <w:b/>
          <w:bCs/>
          <w:noProof/>
          <w:sz w:val="20"/>
          <w:szCs w:val="20"/>
        </w:rPr>
        <mc:AlternateContent>
          <mc:Choice Requires="wps">
            <w:drawing>
              <wp:anchor distT="0" distB="0" distL="114300" distR="114300" simplePos="0" relativeHeight="251677184" behindDoc="0" locked="0" layoutInCell="1" allowOverlap="1" wp14:anchorId="4DCFEF27" wp14:editId="3D1695DE">
                <wp:simplePos x="0" y="0"/>
                <wp:positionH relativeFrom="page">
                  <wp:posOffset>823595</wp:posOffset>
                </wp:positionH>
                <wp:positionV relativeFrom="paragraph">
                  <wp:posOffset>201930</wp:posOffset>
                </wp:positionV>
                <wp:extent cx="6219825" cy="0"/>
                <wp:effectExtent l="13970" t="13970" r="5080" b="5080"/>
                <wp:wrapNone/>
                <wp:docPr id="30"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E4CA3" id="Line 538"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85pt,15.9pt" to="554.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" strokeweight=".48pt">
                <w10:wrap anchorx="page"/>
              </v:line>
            </w:pict>
          </mc:Fallback>
        </mc:AlternateContent>
      </w:r>
      <w:r w:rsidRPr="001728ED">
        <w:rPr>
          <w:rFonts w:ascii="Arial" w:hAnsi="Arial" w:cs="Arial"/>
          <w:b/>
          <w:bCs/>
          <w:noProof/>
          <w:sz w:val="20"/>
          <w:szCs w:val="20"/>
        </w:rPr>
        <w:t>FINANCIAL INSTRUMENTS</w:t>
      </w:r>
    </w:p>
    <w:p w14:paraId="0A21CD5C" w14:textId="77777777" w:rsidR="00387BCA" w:rsidRPr="001728ED" w:rsidRDefault="00387BCA" w:rsidP="00387BCA">
      <w:pPr>
        <w:spacing w:line="218" w:lineRule="auto"/>
        <w:jc w:val="both"/>
        <w:rPr>
          <w:rFonts w:ascii="Arial" w:hAnsi="Arial" w:cs="Arial"/>
          <w:sz w:val="20"/>
          <w:szCs w:val="20"/>
        </w:rPr>
      </w:pPr>
    </w:p>
    <w:p w14:paraId="4AB9C928" w14:textId="77777777" w:rsidR="00387BCA" w:rsidRPr="001728ED" w:rsidRDefault="00387BCA" w:rsidP="0075420D">
      <w:pPr>
        <w:jc w:val="both"/>
        <w:rPr>
          <w:rFonts w:ascii="Arial" w:hAnsi="Arial" w:cs="Arial"/>
          <w:b/>
          <w:bCs/>
          <w:sz w:val="20"/>
          <w:szCs w:val="20"/>
          <w:lang w:val="en-CA" w:eastAsia="x-none"/>
        </w:rPr>
      </w:pPr>
    </w:p>
    <w:p w14:paraId="46702557" w14:textId="77777777" w:rsidR="0075420D" w:rsidRPr="001728ED" w:rsidRDefault="0075420D" w:rsidP="0075420D">
      <w:pPr>
        <w:suppressAutoHyphens/>
        <w:jc w:val="both"/>
        <w:rPr>
          <w:rFonts w:ascii="Arial" w:hAnsi="Arial" w:cs="Arial"/>
          <w:b/>
          <w:color w:val="000000"/>
          <w:spacing w:val="-2"/>
          <w:sz w:val="20"/>
          <w:szCs w:val="20"/>
        </w:rPr>
      </w:pPr>
      <w:bookmarkStart w:id="19" w:name="_Hlk483906329"/>
      <w:r w:rsidRPr="001728ED">
        <w:rPr>
          <w:rFonts w:ascii="Arial" w:hAnsi="Arial" w:cs="Arial"/>
          <w:b/>
          <w:color w:val="000000"/>
          <w:spacing w:val="-2"/>
          <w:sz w:val="20"/>
          <w:szCs w:val="20"/>
        </w:rPr>
        <w:t>Fair value of financial instruments</w:t>
      </w:r>
    </w:p>
    <w:p w14:paraId="57554349" w14:textId="77777777" w:rsidR="0075420D" w:rsidRPr="001728ED" w:rsidRDefault="0075420D" w:rsidP="0075420D">
      <w:pPr>
        <w:suppressAutoHyphens/>
        <w:jc w:val="both"/>
        <w:rPr>
          <w:rFonts w:ascii="Arial" w:hAnsi="Arial" w:cs="Arial"/>
          <w:b/>
          <w:color w:val="000000"/>
          <w:spacing w:val="-2"/>
          <w:sz w:val="20"/>
          <w:szCs w:val="20"/>
        </w:rPr>
      </w:pPr>
    </w:p>
    <w:p w14:paraId="03B5FCAD" w14:textId="77777777" w:rsidR="001728ED" w:rsidRPr="001728ED" w:rsidRDefault="001728ED" w:rsidP="001728ED">
      <w:pPr>
        <w:suppressAutoHyphens/>
        <w:jc w:val="both"/>
        <w:rPr>
          <w:rFonts w:ascii="Arial" w:eastAsia="Times New Roman" w:hAnsi="Arial" w:cs="Arial"/>
          <w:sz w:val="20"/>
          <w:szCs w:val="20"/>
          <w:lang w:val="en-CA"/>
        </w:rPr>
      </w:pPr>
      <w:bookmarkStart w:id="20" w:name="_Hlk487455974"/>
      <w:r w:rsidRPr="001728ED">
        <w:rPr>
          <w:rFonts w:ascii="Arial" w:eastAsia="Times New Roman" w:hAnsi="Arial" w:cs="Arial"/>
          <w:sz w:val="20"/>
          <w:szCs w:val="20"/>
          <w:lang w:val="en-CA"/>
        </w:rPr>
        <w:t>Due to the short-term nature of cash, trade accounts receivable, accounts payable and accrued liabilities the carrying value of these financial instruments approximate their fair value. Customer deposits are short-term in nature as they are either refundable if the order is not completed or applied to an order at their carrying value. The carrying value of the customer deposits would approximate their fair value. The fair value of long-term debt is not materially different from their carrying value.</w:t>
      </w:r>
    </w:p>
    <w:p w14:paraId="33833365" w14:textId="4845A809" w:rsidR="003B10C0" w:rsidRPr="001728ED" w:rsidRDefault="003B10C0" w:rsidP="0075420D">
      <w:pPr>
        <w:suppressAutoHyphens/>
        <w:jc w:val="both"/>
        <w:rPr>
          <w:rFonts w:ascii="Arial" w:hAnsi="Arial" w:cs="Arial"/>
          <w:b/>
          <w:color w:val="000000"/>
          <w:spacing w:val="-2"/>
          <w:sz w:val="20"/>
          <w:szCs w:val="20"/>
        </w:rPr>
      </w:pPr>
    </w:p>
    <w:p w14:paraId="3F2137A8" w14:textId="77777777" w:rsidR="0075420D" w:rsidRPr="001728ED" w:rsidRDefault="0075420D" w:rsidP="0075420D">
      <w:pPr>
        <w:suppressAutoHyphens/>
        <w:jc w:val="both"/>
        <w:rPr>
          <w:rFonts w:ascii="Arial" w:hAnsi="Arial" w:cs="Arial"/>
          <w:b/>
          <w:color w:val="000000"/>
          <w:spacing w:val="-2"/>
          <w:sz w:val="20"/>
          <w:szCs w:val="20"/>
        </w:rPr>
      </w:pPr>
      <w:r w:rsidRPr="001728ED">
        <w:rPr>
          <w:rFonts w:ascii="Arial" w:hAnsi="Arial" w:cs="Arial"/>
          <w:b/>
          <w:color w:val="000000"/>
          <w:spacing w:val="-2"/>
          <w:sz w:val="20"/>
          <w:szCs w:val="20"/>
        </w:rPr>
        <w:t>Classification of financial instruments</w:t>
      </w:r>
      <w:bookmarkEnd w:id="20"/>
    </w:p>
    <w:p w14:paraId="78610444" w14:textId="77777777" w:rsidR="0075420D" w:rsidRPr="001728ED" w:rsidRDefault="0075420D" w:rsidP="0075420D">
      <w:pPr>
        <w:suppressAutoHyphens/>
        <w:jc w:val="both"/>
        <w:rPr>
          <w:rFonts w:ascii="Arial" w:hAnsi="Arial" w:cs="Arial"/>
          <w:b/>
          <w:color w:val="000000"/>
          <w:spacing w:val="-2"/>
          <w:sz w:val="20"/>
          <w:szCs w:val="20"/>
        </w:rPr>
      </w:pPr>
    </w:p>
    <w:p w14:paraId="6D6FF81B" w14:textId="2997C7EE" w:rsidR="001728ED" w:rsidRPr="001728ED" w:rsidRDefault="001728ED" w:rsidP="001728ED">
      <w:pPr>
        <w:suppressAutoHyphens/>
        <w:jc w:val="both"/>
        <w:rPr>
          <w:rFonts w:ascii="Arial" w:hAnsi="Arial" w:cs="Arial"/>
          <w:color w:val="000000"/>
          <w:spacing w:val="-2"/>
          <w:sz w:val="20"/>
          <w:szCs w:val="20"/>
        </w:rPr>
      </w:pPr>
      <w:bookmarkStart w:id="21" w:name="_Hlk71106900"/>
      <w:r w:rsidRPr="001728ED">
        <w:rPr>
          <w:rFonts w:ascii="Arial" w:hAnsi="Arial" w:cs="Arial"/>
          <w:color w:val="000000"/>
          <w:spacing w:val="-2"/>
          <w:sz w:val="20"/>
          <w:szCs w:val="20"/>
        </w:rPr>
        <w:t>The Company’s financial instruments consist of cash, trade accounts receivable, accounts payable and accrued liabilities, customer deposits, and long-term debt. The Company classified and measured its cash and accounts receivable as subsequently measured at amortized cost. The accounts payable and accrued liabilities, customer deposits, and long-term debt</w:t>
      </w:r>
      <w:r w:rsidRPr="001728ED">
        <w:rPr>
          <w:rFonts w:ascii="Arial" w:hAnsi="Arial" w:cs="Arial"/>
          <w:color w:val="000000"/>
          <w:spacing w:val="-2"/>
          <w:sz w:val="20"/>
          <w:szCs w:val="20"/>
          <w:lang w:val="en-CA"/>
        </w:rPr>
        <w:t xml:space="preserve"> notes</w:t>
      </w:r>
      <w:r w:rsidRPr="001728ED">
        <w:rPr>
          <w:rFonts w:ascii="Arial" w:hAnsi="Arial" w:cs="Arial"/>
          <w:color w:val="000000"/>
          <w:spacing w:val="-2"/>
          <w:sz w:val="20"/>
          <w:szCs w:val="20"/>
        </w:rPr>
        <w:t xml:space="preserve"> are classified and measured at amortized cost</w:t>
      </w:r>
      <w:bookmarkEnd w:id="21"/>
      <w:r w:rsidRPr="001728ED">
        <w:rPr>
          <w:rFonts w:ascii="Arial" w:hAnsi="Arial" w:cs="Arial"/>
          <w:color w:val="000000"/>
          <w:spacing w:val="-2"/>
          <w:sz w:val="20"/>
          <w:szCs w:val="20"/>
        </w:rPr>
        <w:t>.</w:t>
      </w:r>
    </w:p>
    <w:p w14:paraId="7B8E07D6" w14:textId="77777777" w:rsidR="001728ED" w:rsidRPr="001728ED" w:rsidRDefault="001728ED" w:rsidP="001728ED">
      <w:pPr>
        <w:suppressAutoHyphens/>
        <w:jc w:val="both"/>
        <w:rPr>
          <w:rFonts w:ascii="Arial" w:hAnsi="Arial" w:cs="Arial"/>
          <w:b/>
          <w:color w:val="000000"/>
          <w:spacing w:val="-2"/>
          <w:sz w:val="20"/>
          <w:szCs w:val="20"/>
          <w:lang w:val="en-CA"/>
        </w:rPr>
      </w:pPr>
    </w:p>
    <w:p w14:paraId="12CF8977" w14:textId="77777777" w:rsidR="001728ED" w:rsidRPr="001728ED" w:rsidRDefault="001728ED" w:rsidP="001728ED">
      <w:pPr>
        <w:suppressAutoHyphens/>
        <w:jc w:val="both"/>
        <w:rPr>
          <w:rFonts w:ascii="Arial" w:hAnsi="Arial" w:cs="Arial"/>
          <w:color w:val="000000"/>
          <w:spacing w:val="-2"/>
          <w:sz w:val="20"/>
          <w:szCs w:val="20"/>
          <w:lang w:val="en-CA"/>
        </w:rPr>
      </w:pPr>
      <w:r w:rsidRPr="001728ED">
        <w:rPr>
          <w:rFonts w:ascii="Arial" w:hAnsi="Arial" w:cs="Arial"/>
          <w:color w:val="000000"/>
          <w:spacing w:val="-2"/>
          <w:sz w:val="20"/>
          <w:szCs w:val="20"/>
          <w:lang w:val="en-CA"/>
        </w:rPr>
        <w:t xml:space="preserve">The Company thoroughly examines the various financial instruments and risks to which it is exposed and assesses the impact and likelihood of those risks. These risks include market risk, interest rate risk, credit risk, and liquidity risk. Where material, these risks are reviewed and monitored by the Board of Directors who actively focus on securing the Company’s cash flows by minimizing the exposure to volatile financial instrument risks. </w:t>
      </w:r>
    </w:p>
    <w:p w14:paraId="018EE49E" w14:textId="77777777" w:rsidR="0075420D" w:rsidRPr="00776BF7" w:rsidRDefault="0075420D" w:rsidP="0075420D">
      <w:pPr>
        <w:suppressAutoHyphens/>
        <w:jc w:val="both"/>
        <w:rPr>
          <w:rFonts w:ascii="Arial" w:hAnsi="Arial" w:cs="Arial"/>
          <w:color w:val="000000"/>
          <w:spacing w:val="-2"/>
          <w:sz w:val="20"/>
          <w:szCs w:val="20"/>
        </w:rPr>
      </w:pPr>
    </w:p>
    <w:p w14:paraId="61E5432F" w14:textId="77777777" w:rsidR="0075420D" w:rsidRPr="00776BF7" w:rsidRDefault="0075420D" w:rsidP="0075420D">
      <w:pPr>
        <w:rPr>
          <w:rFonts w:ascii="Arial" w:eastAsia="Calibri" w:hAnsi="Arial" w:cs="Arial"/>
          <w:b/>
          <w:sz w:val="20"/>
          <w:szCs w:val="20"/>
        </w:rPr>
      </w:pPr>
      <w:bookmarkStart w:id="22" w:name="_Hlk487456024"/>
      <w:r w:rsidRPr="00776BF7">
        <w:rPr>
          <w:rFonts w:ascii="Arial" w:eastAsia="Calibri" w:hAnsi="Arial" w:cs="Arial"/>
          <w:b/>
          <w:sz w:val="20"/>
          <w:szCs w:val="20"/>
        </w:rPr>
        <w:t>Financial</w:t>
      </w:r>
      <w:r w:rsidRPr="00776BF7">
        <w:rPr>
          <w:rFonts w:ascii="Arial" w:hAnsi="Arial" w:cs="Arial"/>
          <w:b/>
          <w:color w:val="000000"/>
          <w:spacing w:val="-2"/>
          <w:sz w:val="20"/>
          <w:szCs w:val="20"/>
        </w:rPr>
        <w:t xml:space="preserve"> and capital risk management</w:t>
      </w:r>
    </w:p>
    <w:p w14:paraId="334F4E59" w14:textId="77777777" w:rsidR="0075420D" w:rsidRPr="00776BF7" w:rsidRDefault="0075420D" w:rsidP="0075420D">
      <w:pPr>
        <w:jc w:val="both"/>
        <w:rPr>
          <w:rFonts w:ascii="Arial" w:hAnsi="Arial" w:cs="Arial"/>
          <w:sz w:val="20"/>
          <w:szCs w:val="20"/>
        </w:rPr>
      </w:pPr>
    </w:p>
    <w:p w14:paraId="047D7D55" w14:textId="77777777" w:rsidR="0075420D" w:rsidRPr="00776BF7" w:rsidRDefault="0075420D" w:rsidP="0075420D">
      <w:pPr>
        <w:suppressAutoHyphens/>
        <w:jc w:val="both"/>
        <w:rPr>
          <w:rFonts w:ascii="Arial" w:hAnsi="Arial" w:cs="Arial"/>
          <w:color w:val="000000"/>
          <w:spacing w:val="-2"/>
          <w:sz w:val="20"/>
          <w:szCs w:val="20"/>
        </w:rPr>
      </w:pPr>
      <w:r w:rsidRPr="00776BF7">
        <w:rPr>
          <w:rFonts w:ascii="Arial" w:hAnsi="Arial" w:cs="Arial"/>
          <w:color w:val="000000"/>
          <w:spacing w:val="-2"/>
          <w:sz w:val="20"/>
          <w:szCs w:val="20"/>
        </w:rPr>
        <w:t>The Company thoroughly examines the various financial instruments and risks to which it is exposed and assesses the impact and likelihood of those risks. These risks include interest rate risk, credit risk, and liquidity risk. Where material, these risks are reviewed and monitored by the Board of Directors.</w:t>
      </w:r>
      <w:bookmarkEnd w:id="19"/>
      <w:bookmarkEnd w:id="22"/>
    </w:p>
    <w:p w14:paraId="5D3DE6EA" w14:textId="3931D603" w:rsidR="0075420D" w:rsidRDefault="0075420D" w:rsidP="0075420D">
      <w:pPr>
        <w:adjustRightInd w:val="0"/>
        <w:jc w:val="both"/>
        <w:rPr>
          <w:rFonts w:ascii="Arial" w:eastAsia="Calibri" w:hAnsi="Arial" w:cs="Arial"/>
          <w:b/>
          <w:bCs/>
          <w:sz w:val="20"/>
          <w:szCs w:val="20"/>
        </w:rPr>
      </w:pPr>
    </w:p>
    <w:p w14:paraId="47EC139F" w14:textId="77777777" w:rsidR="00134EDE" w:rsidRPr="00776BF7" w:rsidRDefault="00134EDE" w:rsidP="0075420D">
      <w:pPr>
        <w:adjustRightInd w:val="0"/>
        <w:jc w:val="both"/>
        <w:rPr>
          <w:rFonts w:ascii="Arial" w:eastAsia="Calibri" w:hAnsi="Arial" w:cs="Arial"/>
          <w:b/>
          <w:bCs/>
          <w:sz w:val="20"/>
          <w:szCs w:val="20"/>
        </w:rPr>
      </w:pPr>
    </w:p>
    <w:p w14:paraId="6B7393D6" w14:textId="65E8B35C" w:rsidR="00387BCA" w:rsidRPr="00776BF7" w:rsidRDefault="00387BCA" w:rsidP="00387BCA">
      <w:pPr>
        <w:keepNext/>
        <w:adjustRightInd w:val="0"/>
        <w:jc w:val="both"/>
        <w:rPr>
          <w:rFonts w:ascii="Arial" w:hAnsi="Arial" w:cs="Arial"/>
          <w:b/>
          <w:bCs/>
          <w:sz w:val="20"/>
          <w:szCs w:val="20"/>
        </w:rPr>
      </w:pPr>
      <w:r w:rsidRPr="00776BF7">
        <w:rPr>
          <w:rFonts w:ascii="Arial" w:hAnsi="Arial" w:cs="Arial"/>
          <w:b/>
          <w:bCs/>
          <w:noProof/>
          <w:sz w:val="20"/>
          <w:szCs w:val="20"/>
        </w:rPr>
        <mc:AlternateContent>
          <mc:Choice Requires="wps">
            <w:drawing>
              <wp:anchor distT="0" distB="0" distL="114300" distR="114300" simplePos="0" relativeHeight="251679232" behindDoc="0" locked="0" layoutInCell="1" allowOverlap="1" wp14:anchorId="0986CBCD" wp14:editId="134520FC">
                <wp:simplePos x="0" y="0"/>
                <wp:positionH relativeFrom="page">
                  <wp:posOffset>823595</wp:posOffset>
                </wp:positionH>
                <wp:positionV relativeFrom="paragraph">
                  <wp:posOffset>201930</wp:posOffset>
                </wp:positionV>
                <wp:extent cx="6219825" cy="0"/>
                <wp:effectExtent l="13970" t="13970" r="5080" b="5080"/>
                <wp:wrapNone/>
                <wp:docPr id="31"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686E6" id="Line 538" o:spid="_x0000_s1026"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85pt,15.9pt" to="554.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" strokeweight=".48pt">
                <w10:wrap anchorx="page"/>
              </v:line>
            </w:pict>
          </mc:Fallback>
        </mc:AlternateContent>
      </w:r>
      <w:r w:rsidRPr="00776BF7">
        <w:rPr>
          <w:rFonts w:ascii="Arial" w:hAnsi="Arial" w:cs="Arial"/>
          <w:b/>
          <w:bCs/>
          <w:noProof/>
          <w:sz w:val="20"/>
          <w:szCs w:val="20"/>
        </w:rPr>
        <w:t>CRITICAL JUDGEMENTS IN APPLYING ACCOUNTING POLICIES</w:t>
      </w:r>
    </w:p>
    <w:p w14:paraId="4BFB7A11" w14:textId="77777777" w:rsidR="00387BCA" w:rsidRPr="00776BF7" w:rsidRDefault="00387BCA" w:rsidP="00387BCA">
      <w:pPr>
        <w:spacing w:line="218" w:lineRule="auto"/>
        <w:jc w:val="both"/>
        <w:rPr>
          <w:rFonts w:ascii="Arial" w:hAnsi="Arial" w:cs="Arial"/>
          <w:sz w:val="20"/>
          <w:szCs w:val="20"/>
        </w:rPr>
      </w:pPr>
    </w:p>
    <w:p w14:paraId="39274714" w14:textId="77777777" w:rsidR="0075420D" w:rsidRPr="00776BF7" w:rsidRDefault="0075420D" w:rsidP="0075420D">
      <w:pPr>
        <w:jc w:val="both"/>
        <w:rPr>
          <w:rFonts w:ascii="Arial" w:hAnsi="Arial" w:cs="Arial"/>
          <w:sz w:val="20"/>
          <w:szCs w:val="20"/>
        </w:rPr>
      </w:pPr>
      <w:r w:rsidRPr="00776BF7">
        <w:rPr>
          <w:rFonts w:ascii="Arial" w:hAnsi="Arial" w:cs="Arial"/>
          <w:sz w:val="20"/>
          <w:szCs w:val="20"/>
        </w:rPr>
        <w:t>The critical judgments that the Company’s management has made in the process of applying the Company’s accounting policies with the most significant effect on the amounts recognized in the Company’s financial statements are as follows:</w:t>
      </w:r>
    </w:p>
    <w:p w14:paraId="10A6B824" w14:textId="77777777" w:rsidR="0075420D" w:rsidRPr="00776BF7" w:rsidRDefault="0075420D" w:rsidP="0075420D">
      <w:pPr>
        <w:rPr>
          <w:rFonts w:ascii="Arial" w:hAnsi="Arial" w:cs="Arial"/>
          <w:b/>
          <w:sz w:val="20"/>
          <w:szCs w:val="20"/>
        </w:rPr>
      </w:pPr>
    </w:p>
    <w:p w14:paraId="66F2F007" w14:textId="67BFF85B" w:rsidR="0075420D" w:rsidRPr="00776BF7" w:rsidRDefault="00387BCA" w:rsidP="0075420D">
      <w:pPr>
        <w:tabs>
          <w:tab w:val="decimal" w:pos="360"/>
        </w:tabs>
        <w:jc w:val="both"/>
        <w:rPr>
          <w:rFonts w:ascii="Arial" w:hAnsi="Arial" w:cs="Arial"/>
          <w:b/>
          <w:sz w:val="20"/>
          <w:szCs w:val="20"/>
        </w:rPr>
      </w:pPr>
      <w:r w:rsidRPr="00776BF7">
        <w:rPr>
          <w:rFonts w:ascii="Arial" w:hAnsi="Arial" w:cs="Arial"/>
          <w:b/>
          <w:sz w:val="20"/>
          <w:szCs w:val="20"/>
        </w:rPr>
        <w:t>Key sources of estimation uncertainty</w:t>
      </w:r>
    </w:p>
    <w:p w14:paraId="10EF2A2B" w14:textId="77777777" w:rsidR="0075420D" w:rsidRPr="00776BF7" w:rsidRDefault="0075420D" w:rsidP="0075420D">
      <w:pPr>
        <w:tabs>
          <w:tab w:val="decimal" w:pos="360"/>
        </w:tabs>
        <w:jc w:val="both"/>
        <w:rPr>
          <w:rFonts w:ascii="Arial" w:hAnsi="Arial" w:cs="Arial"/>
          <w:b/>
          <w:sz w:val="20"/>
          <w:szCs w:val="20"/>
        </w:rPr>
      </w:pPr>
    </w:p>
    <w:p w14:paraId="42315D22" w14:textId="77777777" w:rsidR="0075420D" w:rsidRPr="009A6446" w:rsidRDefault="0075420D" w:rsidP="0075420D">
      <w:pPr>
        <w:tabs>
          <w:tab w:val="decimal" w:pos="360"/>
        </w:tabs>
        <w:jc w:val="both"/>
        <w:rPr>
          <w:rFonts w:ascii="Arial" w:hAnsi="Arial" w:cs="Arial"/>
          <w:sz w:val="20"/>
          <w:szCs w:val="20"/>
        </w:rPr>
      </w:pPr>
      <w:r w:rsidRPr="00776BF7">
        <w:rPr>
          <w:rFonts w:ascii="Arial" w:hAnsi="Arial" w:cs="Arial"/>
          <w:sz w:val="20"/>
          <w:szCs w:val="20"/>
        </w:rPr>
        <w:t xml:space="preserve">The preparation of consolidated financial statements in conformity with IFRS as issued by the IASB requires management to make estimates and judgements that affect the amount reported in the consolidated financial statements. Estimates and judgements are continually evaluated and are based on historical experience and other </w:t>
      </w:r>
      <w:r w:rsidRPr="009A6446">
        <w:rPr>
          <w:rFonts w:ascii="Arial" w:hAnsi="Arial" w:cs="Arial"/>
          <w:sz w:val="20"/>
          <w:szCs w:val="20"/>
        </w:rPr>
        <w:t xml:space="preserve">factors, including expectations of future events that are believed to be reasonable under the circumstances, and are subject to measurement uncertainty. Actual results may differ from these estimates. </w:t>
      </w:r>
    </w:p>
    <w:p w14:paraId="152B4DD3" w14:textId="0B28C843" w:rsidR="00DB6199" w:rsidRDefault="00DB6199" w:rsidP="00387BCA">
      <w:pPr>
        <w:keepNext/>
        <w:adjustRightInd w:val="0"/>
        <w:jc w:val="both"/>
        <w:rPr>
          <w:rFonts w:ascii="Arial" w:hAnsi="Arial" w:cs="Arial"/>
          <w:b/>
          <w:bCs/>
          <w:noProof/>
          <w:sz w:val="20"/>
          <w:szCs w:val="20"/>
        </w:rPr>
      </w:pPr>
    </w:p>
    <w:p w14:paraId="3697763A" w14:textId="6B9F5846" w:rsidR="00774F8E" w:rsidRDefault="00774F8E" w:rsidP="00387BCA">
      <w:pPr>
        <w:keepNext/>
        <w:adjustRightInd w:val="0"/>
        <w:jc w:val="both"/>
        <w:rPr>
          <w:rFonts w:ascii="Arial" w:hAnsi="Arial" w:cs="Arial"/>
          <w:b/>
          <w:bCs/>
          <w:noProof/>
          <w:sz w:val="20"/>
          <w:szCs w:val="20"/>
        </w:rPr>
      </w:pPr>
    </w:p>
    <w:p w14:paraId="021DC324" w14:textId="2A6E9A09" w:rsidR="00774F8E" w:rsidRPr="009A6446" w:rsidRDefault="00774F8E" w:rsidP="00387BCA">
      <w:pPr>
        <w:keepNext/>
        <w:adjustRightInd w:val="0"/>
        <w:jc w:val="both"/>
        <w:rPr>
          <w:rFonts w:ascii="Arial" w:hAnsi="Arial" w:cs="Arial"/>
          <w:b/>
          <w:bCs/>
          <w:noProof/>
          <w:sz w:val="20"/>
          <w:szCs w:val="20"/>
        </w:rPr>
      </w:pPr>
      <w:r>
        <w:rPr>
          <w:rFonts w:ascii="Arial" w:hAnsi="Arial" w:cs="Arial"/>
          <w:b/>
          <w:bCs/>
          <w:noProof/>
          <w:sz w:val="20"/>
          <w:szCs w:val="20"/>
        </w:rPr>
        <w:br/>
      </w:r>
    </w:p>
    <w:p w14:paraId="4AA7AB3A" w14:textId="76E39DD8" w:rsidR="00387BCA" w:rsidRPr="00114D2F" w:rsidRDefault="00387BCA" w:rsidP="00387BCA">
      <w:pPr>
        <w:keepNext/>
        <w:adjustRightInd w:val="0"/>
        <w:jc w:val="both"/>
        <w:rPr>
          <w:rFonts w:ascii="Arial" w:hAnsi="Arial" w:cs="Arial"/>
          <w:b/>
          <w:bCs/>
          <w:sz w:val="20"/>
          <w:szCs w:val="20"/>
        </w:rPr>
      </w:pPr>
      <w:r w:rsidRPr="00114D2F">
        <w:rPr>
          <w:rFonts w:ascii="Arial" w:hAnsi="Arial" w:cs="Arial"/>
          <w:b/>
          <w:bCs/>
          <w:noProof/>
          <w:sz w:val="20"/>
          <w:szCs w:val="20"/>
        </w:rPr>
        <mc:AlternateContent>
          <mc:Choice Requires="wps">
            <w:drawing>
              <wp:anchor distT="0" distB="0" distL="114300" distR="114300" simplePos="0" relativeHeight="251681280" behindDoc="0" locked="0" layoutInCell="1" allowOverlap="1" wp14:anchorId="1FE786E1" wp14:editId="102E3085">
                <wp:simplePos x="0" y="0"/>
                <wp:positionH relativeFrom="page">
                  <wp:posOffset>823595</wp:posOffset>
                </wp:positionH>
                <wp:positionV relativeFrom="paragraph">
                  <wp:posOffset>201930</wp:posOffset>
                </wp:positionV>
                <wp:extent cx="6219825" cy="0"/>
                <wp:effectExtent l="13970" t="13970" r="5080" b="5080"/>
                <wp:wrapNone/>
                <wp:docPr id="32"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624DC" id="Line 538" o:spid="_x0000_s1026" style="position:absolute;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85pt,15.9pt" to="554.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" strokeweight=".48pt">
                <w10:wrap anchorx="page"/>
              </v:line>
            </w:pict>
          </mc:Fallback>
        </mc:AlternateContent>
      </w:r>
      <w:r w:rsidRPr="00114D2F">
        <w:rPr>
          <w:rFonts w:ascii="Arial" w:hAnsi="Arial" w:cs="Arial"/>
          <w:b/>
          <w:bCs/>
          <w:noProof/>
          <w:sz w:val="20"/>
          <w:szCs w:val="20"/>
        </w:rPr>
        <w:t>SECURITIES OUTSTANDING</w:t>
      </w:r>
    </w:p>
    <w:p w14:paraId="1D60A6B1" w14:textId="77777777" w:rsidR="00387BCA" w:rsidRPr="00114D2F" w:rsidRDefault="00387BCA" w:rsidP="00387BCA">
      <w:pPr>
        <w:spacing w:line="218" w:lineRule="auto"/>
        <w:jc w:val="both"/>
        <w:rPr>
          <w:rFonts w:ascii="Arial" w:hAnsi="Arial" w:cs="Arial"/>
          <w:sz w:val="20"/>
          <w:szCs w:val="20"/>
        </w:rPr>
      </w:pPr>
    </w:p>
    <w:p w14:paraId="7C4C976C" w14:textId="7B53EE9C" w:rsidR="0075420D" w:rsidRPr="00114D2F" w:rsidRDefault="0075420D" w:rsidP="0075420D">
      <w:pPr>
        <w:jc w:val="both"/>
        <w:outlineLvl w:val="0"/>
        <w:rPr>
          <w:rFonts w:ascii="Arial" w:hAnsi="Arial" w:cs="Arial"/>
          <w:sz w:val="20"/>
          <w:szCs w:val="20"/>
        </w:rPr>
      </w:pPr>
      <w:r w:rsidRPr="00B37735">
        <w:rPr>
          <w:rFonts w:ascii="Arial" w:hAnsi="Arial" w:cs="Arial"/>
          <w:sz w:val="20"/>
          <w:szCs w:val="20"/>
        </w:rPr>
        <w:t xml:space="preserve">As </w:t>
      </w:r>
      <w:proofErr w:type="gramStart"/>
      <w:r w:rsidRPr="00B37735">
        <w:rPr>
          <w:rFonts w:ascii="Arial" w:hAnsi="Arial" w:cs="Arial"/>
          <w:sz w:val="20"/>
          <w:szCs w:val="20"/>
        </w:rPr>
        <w:t>at</w:t>
      </w:r>
      <w:proofErr w:type="gramEnd"/>
      <w:r w:rsidRPr="00B37735">
        <w:rPr>
          <w:rFonts w:ascii="Arial" w:hAnsi="Arial" w:cs="Arial"/>
          <w:sz w:val="20"/>
          <w:szCs w:val="20"/>
        </w:rPr>
        <w:t xml:space="preserve"> </w:t>
      </w:r>
      <w:r w:rsidR="00114D2F" w:rsidRPr="00B37735">
        <w:rPr>
          <w:rFonts w:ascii="Arial" w:hAnsi="Arial" w:cs="Arial"/>
          <w:sz w:val="20"/>
          <w:szCs w:val="20"/>
        </w:rPr>
        <w:t>April</w:t>
      </w:r>
      <w:r w:rsidR="007A6F0D" w:rsidRPr="00B37735">
        <w:rPr>
          <w:rFonts w:ascii="Arial" w:hAnsi="Arial" w:cs="Arial"/>
          <w:sz w:val="20"/>
          <w:szCs w:val="20"/>
        </w:rPr>
        <w:t xml:space="preserve"> </w:t>
      </w:r>
      <w:r w:rsidR="009A6446" w:rsidRPr="00B37735">
        <w:rPr>
          <w:rFonts w:ascii="Arial" w:hAnsi="Arial" w:cs="Arial"/>
          <w:sz w:val="20"/>
          <w:szCs w:val="20"/>
        </w:rPr>
        <w:t>1</w:t>
      </w:r>
      <w:r w:rsidR="00B37735" w:rsidRPr="00B37735">
        <w:rPr>
          <w:rFonts w:ascii="Arial" w:hAnsi="Arial" w:cs="Arial"/>
          <w:sz w:val="20"/>
          <w:szCs w:val="20"/>
        </w:rPr>
        <w:t>9</w:t>
      </w:r>
      <w:r w:rsidR="00894013" w:rsidRPr="00B37735">
        <w:rPr>
          <w:rFonts w:ascii="Arial" w:hAnsi="Arial" w:cs="Arial"/>
          <w:sz w:val="20"/>
          <w:szCs w:val="20"/>
        </w:rPr>
        <w:t>, 2021</w:t>
      </w:r>
      <w:r w:rsidRPr="00114D2F">
        <w:rPr>
          <w:rFonts w:ascii="Arial" w:hAnsi="Arial" w:cs="Arial"/>
          <w:sz w:val="20"/>
          <w:szCs w:val="20"/>
        </w:rPr>
        <w:t xml:space="preserve">, the Company’s outstanding share information </w:t>
      </w:r>
      <w:r w:rsidR="0029194C" w:rsidRPr="00114D2F">
        <w:rPr>
          <w:rFonts w:ascii="Arial" w:hAnsi="Arial" w:cs="Arial"/>
          <w:sz w:val="20"/>
          <w:szCs w:val="20"/>
        </w:rPr>
        <w:t>was</w:t>
      </w:r>
      <w:r w:rsidRPr="00114D2F">
        <w:rPr>
          <w:rFonts w:ascii="Arial" w:hAnsi="Arial" w:cs="Arial"/>
          <w:sz w:val="20"/>
          <w:szCs w:val="20"/>
        </w:rPr>
        <w:t xml:space="preserve"> as follows:</w:t>
      </w:r>
    </w:p>
    <w:p w14:paraId="2159F3F6" w14:textId="2AB063C1" w:rsidR="0075420D" w:rsidRPr="00271B27" w:rsidRDefault="0075420D" w:rsidP="0075420D">
      <w:pPr>
        <w:jc w:val="both"/>
        <w:outlineLvl w:val="0"/>
        <w:rPr>
          <w:rFonts w:ascii="Arial" w:hAnsi="Arial" w:cs="Arial"/>
          <w:sz w:val="20"/>
          <w:szCs w:val="20"/>
          <w:highlight w:val="yellow"/>
        </w:rPr>
      </w:pPr>
    </w:p>
    <w:p w14:paraId="38D820FA" w14:textId="2C2BDFF1" w:rsidR="00DB53B8" w:rsidRDefault="00A5780C" w:rsidP="0075420D">
      <w:pPr>
        <w:rPr>
          <w:rFonts w:ascii="Arial" w:hAnsi="Arial" w:cs="Arial"/>
          <w:b/>
          <w:bCs/>
          <w:sz w:val="20"/>
          <w:szCs w:val="20"/>
          <w:highlight w:val="yellow"/>
        </w:rPr>
      </w:pPr>
      <w:r w:rsidRPr="00A5780C">
        <w:rPr>
          <w:noProof/>
        </w:rPr>
        <w:drawing>
          <wp:inline distT="0" distB="0" distL="0" distR="0" wp14:anchorId="42BB8A86" wp14:editId="04CDBCE4">
            <wp:extent cx="6016625" cy="1830070"/>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16625" cy="1830070"/>
                    </a:xfrm>
                    <a:prstGeom prst="rect">
                      <a:avLst/>
                    </a:prstGeom>
                    <a:noFill/>
                    <a:ln>
                      <a:noFill/>
                    </a:ln>
                  </pic:spPr>
                </pic:pic>
              </a:graphicData>
            </a:graphic>
          </wp:inline>
        </w:drawing>
      </w:r>
    </w:p>
    <w:p w14:paraId="4B40DC48" w14:textId="77777777" w:rsidR="002B3941" w:rsidRPr="00271B27" w:rsidRDefault="002B3941" w:rsidP="0075420D">
      <w:pPr>
        <w:rPr>
          <w:rFonts w:ascii="Arial" w:hAnsi="Arial" w:cs="Arial"/>
          <w:b/>
          <w:bCs/>
          <w:sz w:val="20"/>
          <w:szCs w:val="20"/>
          <w:highlight w:val="yellow"/>
        </w:rPr>
      </w:pPr>
    </w:p>
    <w:p w14:paraId="004567F4" w14:textId="68801BCF" w:rsidR="00387BCA" w:rsidRPr="002A2392" w:rsidRDefault="00387BCA" w:rsidP="00387BCA">
      <w:pPr>
        <w:keepNext/>
        <w:adjustRightInd w:val="0"/>
        <w:jc w:val="both"/>
        <w:rPr>
          <w:rFonts w:ascii="Arial" w:hAnsi="Arial" w:cs="Arial"/>
          <w:b/>
          <w:bCs/>
          <w:sz w:val="20"/>
          <w:szCs w:val="20"/>
        </w:rPr>
      </w:pPr>
      <w:r w:rsidRPr="002A2392">
        <w:rPr>
          <w:rFonts w:ascii="Arial" w:hAnsi="Arial" w:cs="Arial"/>
          <w:b/>
          <w:bCs/>
          <w:noProof/>
          <w:sz w:val="20"/>
          <w:szCs w:val="20"/>
        </w:rPr>
        <mc:AlternateContent>
          <mc:Choice Requires="wps">
            <w:drawing>
              <wp:anchor distT="0" distB="0" distL="114300" distR="114300" simplePos="0" relativeHeight="251683328" behindDoc="0" locked="0" layoutInCell="1" allowOverlap="1" wp14:anchorId="190DBE46" wp14:editId="3F493552">
                <wp:simplePos x="0" y="0"/>
                <wp:positionH relativeFrom="page">
                  <wp:posOffset>823595</wp:posOffset>
                </wp:positionH>
                <wp:positionV relativeFrom="paragraph">
                  <wp:posOffset>201930</wp:posOffset>
                </wp:positionV>
                <wp:extent cx="6219825" cy="0"/>
                <wp:effectExtent l="13970" t="13970" r="5080" b="5080"/>
                <wp:wrapNone/>
                <wp:docPr id="34"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6E478" id="Line 538"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85pt,15.9pt" to="554.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" strokeweight=".48pt">
                <w10:wrap anchorx="page"/>
              </v:line>
            </w:pict>
          </mc:Fallback>
        </mc:AlternateContent>
      </w:r>
      <w:r w:rsidRPr="002A2392">
        <w:rPr>
          <w:rFonts w:ascii="Arial" w:hAnsi="Arial" w:cs="Arial"/>
          <w:b/>
          <w:bCs/>
          <w:sz w:val="20"/>
          <w:szCs w:val="20"/>
        </w:rPr>
        <w:t>DISCLOSURE CONTROLS AND PROCEDURES</w:t>
      </w:r>
    </w:p>
    <w:p w14:paraId="01B1B231" w14:textId="77777777" w:rsidR="00387BCA" w:rsidRPr="002A2392" w:rsidRDefault="00387BCA" w:rsidP="00387BCA">
      <w:pPr>
        <w:spacing w:line="218" w:lineRule="auto"/>
        <w:jc w:val="both"/>
        <w:rPr>
          <w:rFonts w:ascii="Arial" w:hAnsi="Arial" w:cs="Arial"/>
          <w:sz w:val="20"/>
          <w:szCs w:val="20"/>
        </w:rPr>
      </w:pPr>
    </w:p>
    <w:p w14:paraId="46FD58D3" w14:textId="77777777" w:rsidR="00387BCA" w:rsidRPr="002A2392" w:rsidRDefault="00387BCA" w:rsidP="0075420D">
      <w:pPr>
        <w:jc w:val="both"/>
        <w:outlineLvl w:val="0"/>
        <w:rPr>
          <w:rFonts w:ascii="Arial" w:hAnsi="Arial" w:cs="Arial"/>
          <w:b/>
          <w:bCs/>
          <w:sz w:val="20"/>
          <w:szCs w:val="20"/>
        </w:rPr>
      </w:pPr>
    </w:p>
    <w:p w14:paraId="144C4E22" w14:textId="4532095C" w:rsidR="0075420D" w:rsidRPr="002A2392" w:rsidRDefault="0075420D" w:rsidP="0075420D">
      <w:pPr>
        <w:jc w:val="both"/>
        <w:rPr>
          <w:rFonts w:ascii="Arial" w:hAnsi="Arial" w:cs="Arial"/>
          <w:b/>
          <w:bCs/>
          <w:sz w:val="20"/>
          <w:szCs w:val="20"/>
        </w:rPr>
      </w:pPr>
      <w:bookmarkStart w:id="23" w:name="_DV_M234"/>
      <w:bookmarkEnd w:id="23"/>
      <w:r w:rsidRPr="002A2392">
        <w:rPr>
          <w:rFonts w:ascii="Arial" w:hAnsi="Arial" w:cs="Arial"/>
          <w:sz w:val="20"/>
          <w:szCs w:val="20"/>
        </w:rPr>
        <w:t xml:space="preserve">In connection with National Instrument 52-109 </w:t>
      </w:r>
      <w:r w:rsidR="00E57FD4" w:rsidRPr="002A2392">
        <w:rPr>
          <w:rFonts w:ascii="Arial" w:hAnsi="Arial" w:cs="Arial"/>
          <w:sz w:val="20"/>
          <w:szCs w:val="20"/>
        </w:rPr>
        <w:t xml:space="preserve">- </w:t>
      </w:r>
      <w:r w:rsidRPr="002A2392">
        <w:rPr>
          <w:rFonts w:ascii="Arial" w:hAnsi="Arial" w:cs="Arial"/>
          <w:i/>
          <w:iCs/>
          <w:sz w:val="20"/>
          <w:szCs w:val="20"/>
        </w:rPr>
        <w:t>Certificat</w:t>
      </w:r>
      <w:r w:rsidR="00E57FD4" w:rsidRPr="002A2392">
        <w:rPr>
          <w:rFonts w:ascii="Arial" w:hAnsi="Arial" w:cs="Arial"/>
          <w:i/>
          <w:iCs/>
          <w:sz w:val="20"/>
          <w:szCs w:val="20"/>
        </w:rPr>
        <w:t>ion</w:t>
      </w:r>
      <w:r w:rsidRPr="002A2392">
        <w:rPr>
          <w:rFonts w:ascii="Arial" w:hAnsi="Arial" w:cs="Arial"/>
          <w:i/>
          <w:iCs/>
          <w:sz w:val="20"/>
          <w:szCs w:val="20"/>
        </w:rPr>
        <w:t xml:space="preserve"> of Disclosure in Issuer’s Annual and Interim Filings</w:t>
      </w:r>
      <w:r w:rsidRPr="002A2392">
        <w:rPr>
          <w:rFonts w:ascii="Arial" w:hAnsi="Arial" w:cs="Arial"/>
          <w:sz w:val="20"/>
          <w:szCs w:val="20"/>
        </w:rPr>
        <w:t xml:space="preserve"> (“NI 52-109”), the Chief Executive Officer and Chief Financial Officer of the Company have filed a Venture Issuer Basic Certificate with respect to the financial information contained in the consolidated financial statements </w:t>
      </w:r>
      <w:r w:rsidRPr="00B54654">
        <w:rPr>
          <w:rFonts w:ascii="Arial" w:hAnsi="Arial" w:cs="Arial"/>
          <w:sz w:val="20"/>
          <w:szCs w:val="20"/>
        </w:rPr>
        <w:t xml:space="preserve">for the </w:t>
      </w:r>
      <w:r w:rsidR="00EF7842">
        <w:rPr>
          <w:rFonts w:ascii="Arial" w:hAnsi="Arial" w:cs="Arial"/>
          <w:sz w:val="20"/>
          <w:szCs w:val="20"/>
        </w:rPr>
        <w:t xml:space="preserve">year </w:t>
      </w:r>
      <w:r w:rsidR="00E81F78">
        <w:rPr>
          <w:rFonts w:ascii="Arial" w:hAnsi="Arial" w:cs="Arial"/>
          <w:sz w:val="20"/>
          <w:szCs w:val="20"/>
        </w:rPr>
        <w:t xml:space="preserve">ended </w:t>
      </w:r>
      <w:r w:rsidR="00EF7842">
        <w:rPr>
          <w:rFonts w:ascii="Arial" w:hAnsi="Arial" w:cs="Arial"/>
          <w:sz w:val="20"/>
          <w:szCs w:val="20"/>
        </w:rPr>
        <w:t>December 31</w:t>
      </w:r>
      <w:r w:rsidR="00E81F78">
        <w:rPr>
          <w:rFonts w:ascii="Arial" w:hAnsi="Arial" w:cs="Arial"/>
          <w:sz w:val="20"/>
          <w:szCs w:val="20"/>
        </w:rPr>
        <w:t xml:space="preserve">, </w:t>
      </w:r>
      <w:proofErr w:type="gramStart"/>
      <w:r w:rsidR="00E81F78">
        <w:rPr>
          <w:rFonts w:ascii="Arial" w:hAnsi="Arial" w:cs="Arial"/>
          <w:sz w:val="20"/>
          <w:szCs w:val="20"/>
        </w:rPr>
        <w:t>2021</w:t>
      </w:r>
      <w:proofErr w:type="gramEnd"/>
      <w:r w:rsidRPr="00B54654">
        <w:rPr>
          <w:rFonts w:ascii="Arial" w:hAnsi="Arial" w:cs="Arial"/>
          <w:sz w:val="20"/>
          <w:szCs w:val="20"/>
        </w:rPr>
        <w:t xml:space="preserve"> and </w:t>
      </w:r>
      <w:r w:rsidRPr="002A2392">
        <w:rPr>
          <w:rFonts w:ascii="Arial" w:hAnsi="Arial" w:cs="Arial"/>
          <w:sz w:val="20"/>
          <w:szCs w:val="20"/>
        </w:rPr>
        <w:t>this accompanying MD&amp;A</w:t>
      </w:r>
      <w:r w:rsidR="00E57FD4" w:rsidRPr="002A2392">
        <w:rPr>
          <w:rFonts w:ascii="Arial" w:hAnsi="Arial" w:cs="Arial"/>
          <w:sz w:val="20"/>
          <w:szCs w:val="20"/>
        </w:rPr>
        <w:t>.</w:t>
      </w:r>
    </w:p>
    <w:p w14:paraId="4E5E21C0" w14:textId="77777777" w:rsidR="0075420D" w:rsidRPr="002A2392" w:rsidRDefault="0075420D" w:rsidP="0075420D">
      <w:pPr>
        <w:jc w:val="both"/>
        <w:rPr>
          <w:rFonts w:ascii="Arial" w:hAnsi="Arial" w:cs="Arial"/>
          <w:sz w:val="20"/>
          <w:szCs w:val="20"/>
        </w:rPr>
      </w:pPr>
    </w:p>
    <w:p w14:paraId="0C41B3D2" w14:textId="77777777" w:rsidR="0075420D" w:rsidRPr="002A2392" w:rsidRDefault="0075420D" w:rsidP="0075420D">
      <w:pPr>
        <w:jc w:val="both"/>
        <w:rPr>
          <w:rStyle w:val="Hyperlink"/>
          <w:rFonts w:ascii="Arial" w:hAnsi="Arial" w:cs="Arial"/>
          <w:sz w:val="20"/>
          <w:szCs w:val="20"/>
          <w:lang w:eastAsia="en-CA"/>
        </w:rPr>
      </w:pPr>
      <w:r w:rsidRPr="002A2392">
        <w:rPr>
          <w:rFonts w:ascii="Arial" w:hAnsi="Arial" w:cs="Arial"/>
          <w:sz w:val="20"/>
          <w:szCs w:val="20"/>
        </w:rPr>
        <w:t xml:space="preserve">In contrast to the full certificate under NI 52-109 the Venture Issuer Basic Certificate does not include representations relating to the establishment and maintenance of disclosure controls and procedures and internal control over financial reporting, as defined in NI 52-109.  For further information, the reader should refer to the Venture Issuer Basic Certificates filed by the Company with its filings on SEDAR at </w:t>
      </w:r>
      <w:hyperlink r:id="rId31" w:history="1">
        <w:r w:rsidRPr="002A2392">
          <w:rPr>
            <w:rStyle w:val="Hyperlink"/>
            <w:rFonts w:ascii="Arial" w:hAnsi="Arial" w:cs="Arial"/>
            <w:sz w:val="20"/>
            <w:szCs w:val="20"/>
            <w:lang w:eastAsia="en-CA"/>
          </w:rPr>
          <w:t>www.sedar.com</w:t>
        </w:r>
      </w:hyperlink>
      <w:r w:rsidRPr="002A2392">
        <w:rPr>
          <w:rStyle w:val="Hyperlink"/>
          <w:rFonts w:ascii="Arial" w:hAnsi="Arial" w:cs="Arial"/>
          <w:sz w:val="20"/>
          <w:szCs w:val="20"/>
          <w:lang w:eastAsia="en-CA"/>
        </w:rPr>
        <w:t>.</w:t>
      </w:r>
    </w:p>
    <w:p w14:paraId="4CD7339B" w14:textId="77777777" w:rsidR="00DB6199" w:rsidRPr="002A2392" w:rsidRDefault="00DB6199" w:rsidP="0075420D">
      <w:pPr>
        <w:rPr>
          <w:rFonts w:ascii="Arial" w:hAnsi="Arial" w:cs="Arial"/>
          <w:b/>
          <w:bCs/>
          <w:sz w:val="20"/>
          <w:szCs w:val="20"/>
        </w:rPr>
      </w:pPr>
      <w:bookmarkStart w:id="24" w:name="_DV_M99"/>
      <w:bookmarkEnd w:id="24"/>
    </w:p>
    <w:p w14:paraId="15B7BEFA" w14:textId="64737C69" w:rsidR="00387BCA" w:rsidRPr="002A2392" w:rsidRDefault="00387BCA" w:rsidP="00387BCA">
      <w:pPr>
        <w:keepNext/>
        <w:adjustRightInd w:val="0"/>
        <w:jc w:val="both"/>
        <w:rPr>
          <w:rFonts w:ascii="Arial" w:hAnsi="Arial" w:cs="Arial"/>
          <w:b/>
          <w:bCs/>
          <w:sz w:val="20"/>
          <w:szCs w:val="20"/>
        </w:rPr>
      </w:pPr>
      <w:r w:rsidRPr="002A2392">
        <w:rPr>
          <w:rFonts w:ascii="Arial" w:hAnsi="Arial" w:cs="Arial"/>
          <w:b/>
          <w:bCs/>
          <w:noProof/>
          <w:sz w:val="20"/>
          <w:szCs w:val="20"/>
        </w:rPr>
        <mc:AlternateContent>
          <mc:Choice Requires="wps">
            <w:drawing>
              <wp:anchor distT="0" distB="0" distL="114300" distR="114300" simplePos="0" relativeHeight="251685376" behindDoc="0" locked="0" layoutInCell="1" allowOverlap="1" wp14:anchorId="64291003" wp14:editId="16583FA0">
                <wp:simplePos x="0" y="0"/>
                <wp:positionH relativeFrom="page">
                  <wp:posOffset>823595</wp:posOffset>
                </wp:positionH>
                <wp:positionV relativeFrom="paragraph">
                  <wp:posOffset>201930</wp:posOffset>
                </wp:positionV>
                <wp:extent cx="6219825" cy="0"/>
                <wp:effectExtent l="13970" t="13970" r="5080" b="5080"/>
                <wp:wrapNone/>
                <wp:docPr id="35"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10498" id="Line 538" o:spid="_x0000_s1026" style="position:absolute;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85pt,15.9pt" to="554.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" strokeweight=".48pt">
                <w10:wrap anchorx="page"/>
              </v:line>
            </w:pict>
          </mc:Fallback>
        </mc:AlternateContent>
      </w:r>
      <w:r w:rsidRPr="002A2392">
        <w:rPr>
          <w:rFonts w:ascii="Arial" w:hAnsi="Arial" w:cs="Arial"/>
          <w:b/>
          <w:bCs/>
          <w:noProof/>
          <w:sz w:val="20"/>
          <w:szCs w:val="20"/>
        </w:rPr>
        <w:t>RISKS AND UNCERTAINTIES</w:t>
      </w:r>
    </w:p>
    <w:p w14:paraId="45262A14" w14:textId="77777777" w:rsidR="00387BCA" w:rsidRPr="002A2392" w:rsidRDefault="00387BCA" w:rsidP="00387BCA">
      <w:pPr>
        <w:spacing w:line="218" w:lineRule="auto"/>
        <w:jc w:val="both"/>
        <w:rPr>
          <w:rFonts w:ascii="Arial" w:hAnsi="Arial" w:cs="Arial"/>
          <w:sz w:val="20"/>
          <w:szCs w:val="20"/>
        </w:rPr>
      </w:pPr>
    </w:p>
    <w:p w14:paraId="568FD5DE" w14:textId="6953A114" w:rsidR="0075420D" w:rsidRPr="002A2392" w:rsidRDefault="0075420D" w:rsidP="0075420D">
      <w:pPr>
        <w:jc w:val="both"/>
        <w:rPr>
          <w:rFonts w:ascii="Arial" w:eastAsia="Times New Roman" w:hAnsi="Arial" w:cs="Arial"/>
          <w:bCs/>
          <w:sz w:val="20"/>
          <w:szCs w:val="20"/>
          <w:lang w:val="en-CA" w:eastAsia="zh-TW"/>
        </w:rPr>
      </w:pPr>
      <w:r w:rsidRPr="002A2392">
        <w:rPr>
          <w:rFonts w:ascii="Arial" w:eastAsia="Times New Roman" w:hAnsi="Arial" w:cs="Arial"/>
          <w:bCs/>
          <w:sz w:val="20"/>
          <w:szCs w:val="20"/>
          <w:lang w:val="en-CA" w:eastAsia="zh-TW"/>
        </w:rPr>
        <w:t xml:space="preserve">The Company’s business and financial prospects are subject to </w:t>
      </w:r>
      <w:r w:rsidR="00BA4FEB" w:rsidRPr="002A2392">
        <w:rPr>
          <w:rFonts w:ascii="Arial" w:eastAsia="Times New Roman" w:hAnsi="Arial" w:cs="Arial"/>
          <w:bCs/>
          <w:sz w:val="20"/>
          <w:szCs w:val="20"/>
          <w:lang w:val="en-CA" w:eastAsia="zh-TW"/>
        </w:rPr>
        <w:t>several</w:t>
      </w:r>
      <w:r w:rsidRPr="002A2392">
        <w:rPr>
          <w:rFonts w:ascii="Arial" w:eastAsia="Times New Roman" w:hAnsi="Arial" w:cs="Arial"/>
          <w:bCs/>
          <w:sz w:val="20"/>
          <w:szCs w:val="20"/>
          <w:lang w:val="en-CA" w:eastAsia="zh-TW"/>
        </w:rPr>
        <w:t xml:space="preserve"> risks and uncertainties, including operational, </w:t>
      </w:r>
      <w:proofErr w:type="gramStart"/>
      <w:r w:rsidRPr="002A2392">
        <w:rPr>
          <w:rFonts w:ascii="Arial" w:eastAsia="Times New Roman" w:hAnsi="Arial" w:cs="Arial"/>
          <w:bCs/>
          <w:sz w:val="20"/>
          <w:szCs w:val="20"/>
          <w:lang w:val="en-CA" w:eastAsia="zh-TW"/>
        </w:rPr>
        <w:t>financial</w:t>
      </w:r>
      <w:proofErr w:type="gramEnd"/>
      <w:r w:rsidRPr="002A2392">
        <w:rPr>
          <w:rFonts w:ascii="Arial" w:eastAsia="Times New Roman" w:hAnsi="Arial" w:cs="Arial"/>
          <w:bCs/>
          <w:sz w:val="20"/>
          <w:szCs w:val="20"/>
          <w:lang w:val="en-CA" w:eastAsia="zh-TW"/>
        </w:rPr>
        <w:t xml:space="preserve"> and regulatory risks.  The risks described below are not the only ones that the Company may face.  If any of these risks occur, the Company’s business, financial </w:t>
      </w:r>
      <w:r w:rsidR="00BA4FEB" w:rsidRPr="002A2392">
        <w:rPr>
          <w:rFonts w:ascii="Arial" w:eastAsia="Times New Roman" w:hAnsi="Arial" w:cs="Arial"/>
          <w:bCs/>
          <w:sz w:val="20"/>
          <w:szCs w:val="20"/>
          <w:lang w:val="en-CA" w:eastAsia="zh-TW"/>
        </w:rPr>
        <w:t>position</w:t>
      </w:r>
      <w:r w:rsidRPr="002A2392">
        <w:rPr>
          <w:rFonts w:ascii="Arial" w:eastAsia="Times New Roman" w:hAnsi="Arial" w:cs="Arial"/>
          <w:bCs/>
          <w:sz w:val="20"/>
          <w:szCs w:val="20"/>
          <w:lang w:val="en-CA" w:eastAsia="zh-TW"/>
        </w:rPr>
        <w:t xml:space="preserve"> and its results of operation could be materially and adversely affected.</w:t>
      </w:r>
      <w:bookmarkStart w:id="25" w:name="OLE_LINK8"/>
      <w:bookmarkStart w:id="26" w:name="OLE_LINK9"/>
    </w:p>
    <w:p w14:paraId="670C92BE" w14:textId="77777777" w:rsidR="0075420D" w:rsidRPr="002A2392" w:rsidRDefault="0075420D" w:rsidP="0075420D">
      <w:pPr>
        <w:jc w:val="both"/>
        <w:rPr>
          <w:rFonts w:ascii="Arial" w:hAnsi="Arial" w:cs="Arial"/>
          <w:b/>
          <w:sz w:val="20"/>
          <w:szCs w:val="20"/>
          <w:lang w:val="en-CA"/>
        </w:rPr>
      </w:pPr>
    </w:p>
    <w:p w14:paraId="183FE57F" w14:textId="77777777" w:rsidR="00AE552F" w:rsidRPr="002A2392" w:rsidRDefault="00AE552F" w:rsidP="00AE552F">
      <w:pPr>
        <w:jc w:val="both"/>
        <w:rPr>
          <w:rFonts w:ascii="Arial" w:hAnsi="Arial" w:cs="Arial"/>
          <w:b/>
          <w:sz w:val="20"/>
          <w:szCs w:val="20"/>
        </w:rPr>
      </w:pPr>
      <w:r w:rsidRPr="002A2392">
        <w:rPr>
          <w:rFonts w:ascii="Arial" w:hAnsi="Arial" w:cs="Arial"/>
          <w:b/>
          <w:sz w:val="20"/>
          <w:szCs w:val="20"/>
          <w:lang w:val="en-CA"/>
        </w:rPr>
        <w:t>Business Development, Marketing and Sales Risk</w:t>
      </w:r>
    </w:p>
    <w:p w14:paraId="6653F839" w14:textId="77777777" w:rsidR="00AE552F" w:rsidRPr="002A2392" w:rsidRDefault="00AE552F" w:rsidP="00AE552F">
      <w:pPr>
        <w:jc w:val="both"/>
        <w:rPr>
          <w:rFonts w:ascii="Arial" w:hAnsi="Arial" w:cs="Arial"/>
          <w:sz w:val="20"/>
          <w:szCs w:val="20"/>
          <w:lang w:val="en-CA"/>
        </w:rPr>
      </w:pPr>
    </w:p>
    <w:p w14:paraId="18E7FA63" w14:textId="336064E8" w:rsidR="00DB6199" w:rsidRPr="00482EBB" w:rsidRDefault="00AE552F" w:rsidP="0075420D">
      <w:pPr>
        <w:jc w:val="both"/>
        <w:rPr>
          <w:rFonts w:ascii="Arial" w:hAnsi="Arial" w:cs="Arial"/>
          <w:sz w:val="20"/>
          <w:szCs w:val="20"/>
          <w:lang w:val="en-CA"/>
        </w:rPr>
      </w:pPr>
      <w:r w:rsidRPr="002A2392">
        <w:rPr>
          <w:rFonts w:ascii="Arial" w:hAnsi="Arial" w:cs="Arial"/>
          <w:sz w:val="20"/>
          <w:szCs w:val="20"/>
          <w:lang w:val="en-CA"/>
        </w:rPr>
        <w:t>The Company’s future growth and profitability will depend on the effectiveness and efficiency of its national and potentially future international business development</w:t>
      </w:r>
      <w:r w:rsidR="00526D93">
        <w:rPr>
          <w:rFonts w:ascii="Arial" w:hAnsi="Arial" w:cs="Arial"/>
          <w:sz w:val="20"/>
          <w:szCs w:val="20"/>
          <w:lang w:val="en-CA"/>
        </w:rPr>
        <w:t>,</w:t>
      </w:r>
      <w:r w:rsidRPr="002A2392">
        <w:rPr>
          <w:rFonts w:ascii="Arial" w:hAnsi="Arial" w:cs="Arial"/>
          <w:sz w:val="20"/>
          <w:szCs w:val="20"/>
          <w:lang w:val="en-CA"/>
        </w:rPr>
        <w:t xml:space="preserve"> </w:t>
      </w:r>
      <w:proofErr w:type="gramStart"/>
      <w:r w:rsidRPr="002A2392">
        <w:rPr>
          <w:rFonts w:ascii="Arial" w:hAnsi="Arial" w:cs="Arial"/>
          <w:sz w:val="20"/>
          <w:szCs w:val="20"/>
          <w:lang w:val="en-CA"/>
        </w:rPr>
        <w:t>marketing</w:t>
      </w:r>
      <w:proofErr w:type="gramEnd"/>
      <w:r w:rsidRPr="002A2392">
        <w:rPr>
          <w:rFonts w:ascii="Arial" w:hAnsi="Arial" w:cs="Arial"/>
          <w:sz w:val="20"/>
          <w:szCs w:val="20"/>
          <w:lang w:val="en-CA"/>
        </w:rPr>
        <w:t xml:space="preserve"> and sales strategy, including the Company’s ability to (i) consolidate the market via strategic acquisitions; (ii) determine appropriate business development, marketing and sales strategies and (iii) maintain acceptable operating margins on such costs. There can be no assurance that business development, marketing and sales costs will result in revenues for the Company in the future or will generate awareness of the Company's products and services. In addition, no assurance can be given that the Company will be able to manage the Company's business development, </w:t>
      </w:r>
      <w:proofErr w:type="gramStart"/>
      <w:r w:rsidRPr="002A2392">
        <w:rPr>
          <w:rFonts w:ascii="Arial" w:hAnsi="Arial" w:cs="Arial"/>
          <w:sz w:val="20"/>
          <w:szCs w:val="20"/>
          <w:lang w:val="en-CA"/>
        </w:rPr>
        <w:t>marketing</w:t>
      </w:r>
      <w:proofErr w:type="gramEnd"/>
      <w:r w:rsidRPr="002A2392">
        <w:rPr>
          <w:rFonts w:ascii="Arial" w:hAnsi="Arial" w:cs="Arial"/>
          <w:sz w:val="20"/>
          <w:szCs w:val="20"/>
          <w:lang w:val="en-CA"/>
        </w:rPr>
        <w:t xml:space="preserve"> and sales costs on a cost-effective basis.</w:t>
      </w:r>
      <w:r w:rsidRPr="002A2392" w:rsidDel="008C29C4">
        <w:rPr>
          <w:rFonts w:ascii="Arial" w:hAnsi="Arial" w:cs="Arial"/>
          <w:sz w:val="20"/>
          <w:szCs w:val="20"/>
          <w:lang w:val="en-CA"/>
        </w:rPr>
        <w:t xml:space="preserve"> </w:t>
      </w:r>
    </w:p>
    <w:p w14:paraId="62D08838" w14:textId="77777777" w:rsidR="00DB6199" w:rsidRDefault="00DB6199" w:rsidP="0075420D">
      <w:pPr>
        <w:jc w:val="both"/>
        <w:rPr>
          <w:rFonts w:ascii="Arial" w:hAnsi="Arial" w:cs="Arial"/>
          <w:b/>
          <w:sz w:val="20"/>
          <w:szCs w:val="20"/>
          <w:lang w:val="en-CA"/>
        </w:rPr>
      </w:pPr>
    </w:p>
    <w:p w14:paraId="042CF2B0" w14:textId="167D5FCA" w:rsidR="0075420D" w:rsidRPr="002A2392" w:rsidRDefault="0075420D" w:rsidP="0075420D">
      <w:pPr>
        <w:jc w:val="both"/>
        <w:rPr>
          <w:rFonts w:ascii="Arial" w:hAnsi="Arial" w:cs="Arial"/>
          <w:b/>
          <w:sz w:val="20"/>
          <w:szCs w:val="20"/>
          <w:lang w:val="en-CA"/>
        </w:rPr>
      </w:pPr>
      <w:r w:rsidRPr="002A2392">
        <w:rPr>
          <w:rFonts w:ascii="Arial" w:hAnsi="Arial" w:cs="Arial"/>
          <w:b/>
          <w:sz w:val="20"/>
          <w:szCs w:val="20"/>
          <w:lang w:val="en-CA"/>
        </w:rPr>
        <w:t>Brand Awareness</w:t>
      </w:r>
    </w:p>
    <w:p w14:paraId="4B66F326" w14:textId="77777777" w:rsidR="0075420D" w:rsidRPr="002A2392" w:rsidRDefault="0075420D" w:rsidP="0075420D">
      <w:pPr>
        <w:jc w:val="both"/>
        <w:rPr>
          <w:rFonts w:ascii="Arial" w:hAnsi="Arial" w:cs="Arial"/>
          <w:sz w:val="20"/>
          <w:szCs w:val="20"/>
          <w:lang w:val="en-CA"/>
        </w:rPr>
      </w:pPr>
    </w:p>
    <w:p w14:paraId="33301C15" w14:textId="620CB11C" w:rsidR="0075420D" w:rsidRPr="002A2392" w:rsidRDefault="0075420D" w:rsidP="0075420D">
      <w:pPr>
        <w:jc w:val="both"/>
        <w:rPr>
          <w:rFonts w:ascii="Arial" w:hAnsi="Arial" w:cs="Arial"/>
          <w:sz w:val="20"/>
          <w:szCs w:val="20"/>
          <w:lang w:val="en-CA"/>
        </w:rPr>
      </w:pPr>
      <w:r w:rsidRPr="002A2392">
        <w:rPr>
          <w:rFonts w:ascii="Arial" w:hAnsi="Arial" w:cs="Arial"/>
          <w:sz w:val="20"/>
          <w:szCs w:val="20"/>
          <w:lang w:val="en-CA"/>
        </w:rPr>
        <w:t xml:space="preserve">The Company’s expansion of </w:t>
      </w:r>
      <w:r w:rsidR="00FB7769" w:rsidRPr="002A2392">
        <w:rPr>
          <w:rFonts w:ascii="Arial" w:hAnsi="Arial" w:cs="Arial"/>
          <w:sz w:val="20"/>
          <w:szCs w:val="20"/>
          <w:lang w:val="en-CA"/>
        </w:rPr>
        <w:t>its</w:t>
      </w:r>
      <w:r w:rsidRPr="002A2392">
        <w:rPr>
          <w:rFonts w:ascii="Arial" w:hAnsi="Arial" w:cs="Arial"/>
          <w:sz w:val="20"/>
          <w:szCs w:val="20"/>
          <w:lang w:val="en-CA"/>
        </w:rPr>
        <w:t xml:space="preserve"> products and services depends on increasing market consolidation through strategic acquisitions and maintaining customer loyalty in these captive markets before another company decides to move into the market and follow a similar business objective of market consolidation through acquisition.  There is no assurance that the Company will be able to increase brand awareness.  In addition, </w:t>
      </w:r>
      <w:r w:rsidRPr="002A2392">
        <w:rPr>
          <w:rFonts w:ascii="Arial" w:hAnsi="Arial" w:cs="Arial"/>
          <w:sz w:val="20"/>
          <w:szCs w:val="20"/>
          <w:lang w:val="en-CA"/>
        </w:rPr>
        <w:lastRenderedPageBreak/>
        <w:t xml:space="preserve">the Company must successfully develop a market for its products </w:t>
      </w:r>
      <w:proofErr w:type="gramStart"/>
      <w:r w:rsidRPr="002A2392">
        <w:rPr>
          <w:rFonts w:ascii="Arial" w:hAnsi="Arial" w:cs="Arial"/>
          <w:sz w:val="20"/>
          <w:szCs w:val="20"/>
          <w:lang w:val="en-CA"/>
        </w:rPr>
        <w:t>in order to</w:t>
      </w:r>
      <w:proofErr w:type="gramEnd"/>
      <w:r w:rsidRPr="002A2392">
        <w:rPr>
          <w:rFonts w:ascii="Arial" w:hAnsi="Arial" w:cs="Arial"/>
          <w:sz w:val="20"/>
          <w:szCs w:val="20"/>
          <w:lang w:val="en-CA"/>
        </w:rPr>
        <w:t xml:space="preserve"> sell its products. If the Company is not able to successfully develop a market for its products, then such failure will have a material adverse effect on the business, financial </w:t>
      </w:r>
      <w:proofErr w:type="gramStart"/>
      <w:r w:rsidRPr="002A2392">
        <w:rPr>
          <w:rFonts w:ascii="Arial" w:hAnsi="Arial" w:cs="Arial"/>
          <w:sz w:val="20"/>
          <w:szCs w:val="20"/>
          <w:lang w:val="en-CA"/>
        </w:rPr>
        <w:t>condition</w:t>
      </w:r>
      <w:proofErr w:type="gramEnd"/>
      <w:r w:rsidRPr="002A2392">
        <w:rPr>
          <w:rFonts w:ascii="Arial" w:hAnsi="Arial" w:cs="Arial"/>
          <w:sz w:val="20"/>
          <w:szCs w:val="20"/>
          <w:lang w:val="en-CA"/>
        </w:rPr>
        <w:t xml:space="preserve"> and operating results of the Company.</w:t>
      </w:r>
    </w:p>
    <w:p w14:paraId="2011C3FF" w14:textId="77777777" w:rsidR="00907FF3" w:rsidRPr="002A2392" w:rsidRDefault="00907FF3" w:rsidP="0075420D">
      <w:pPr>
        <w:jc w:val="both"/>
        <w:rPr>
          <w:rFonts w:ascii="Arial" w:hAnsi="Arial" w:cs="Arial"/>
          <w:sz w:val="20"/>
          <w:szCs w:val="20"/>
        </w:rPr>
      </w:pPr>
    </w:p>
    <w:p w14:paraId="57B212E4" w14:textId="77777777" w:rsidR="0075420D" w:rsidRPr="002A2392" w:rsidRDefault="0075420D" w:rsidP="0075420D">
      <w:pPr>
        <w:jc w:val="both"/>
        <w:rPr>
          <w:rFonts w:ascii="Arial" w:hAnsi="Arial" w:cs="Arial"/>
          <w:b/>
          <w:sz w:val="20"/>
          <w:szCs w:val="20"/>
          <w:lang w:val="en-CA"/>
        </w:rPr>
      </w:pPr>
      <w:r w:rsidRPr="002A2392">
        <w:rPr>
          <w:rFonts w:ascii="Arial" w:hAnsi="Arial" w:cs="Arial"/>
          <w:b/>
          <w:sz w:val="20"/>
          <w:szCs w:val="20"/>
          <w:lang w:val="en-CA"/>
        </w:rPr>
        <w:t>Growth Risk</w:t>
      </w:r>
    </w:p>
    <w:p w14:paraId="658B96AF" w14:textId="77777777" w:rsidR="0075420D" w:rsidRPr="002A2392" w:rsidRDefault="0075420D" w:rsidP="0075420D">
      <w:pPr>
        <w:jc w:val="both"/>
        <w:rPr>
          <w:rFonts w:ascii="Arial" w:hAnsi="Arial" w:cs="Arial"/>
          <w:sz w:val="20"/>
          <w:szCs w:val="20"/>
          <w:lang w:val="en-CA"/>
        </w:rPr>
      </w:pPr>
    </w:p>
    <w:p w14:paraId="372099F5" w14:textId="77777777" w:rsidR="0075420D" w:rsidRPr="002A2392" w:rsidRDefault="0075420D" w:rsidP="0075420D">
      <w:pPr>
        <w:jc w:val="both"/>
        <w:rPr>
          <w:rFonts w:ascii="Arial" w:hAnsi="Arial" w:cs="Arial"/>
          <w:sz w:val="20"/>
          <w:szCs w:val="20"/>
          <w:lang w:val="en-CA"/>
        </w:rPr>
      </w:pPr>
      <w:r w:rsidRPr="002A2392">
        <w:rPr>
          <w:rFonts w:ascii="Arial" w:hAnsi="Arial" w:cs="Arial"/>
          <w:sz w:val="20"/>
          <w:szCs w:val="20"/>
          <w:lang w:val="en-CA"/>
        </w:rPr>
        <w:t>A key component of the Company’s strategy is to continue to grow, both by increasing sales and earnings in existing markets with existing products, and by expanding into new markets and products.  There can be no assurance that the Company will be successful in growing its business or in managing its growth.  The Company’s growth depends on, among other things:</w:t>
      </w:r>
    </w:p>
    <w:p w14:paraId="78BF126F" w14:textId="77777777" w:rsidR="0075420D" w:rsidRPr="002A2392" w:rsidRDefault="0075420D" w:rsidP="00B724D2">
      <w:pPr>
        <w:widowControl/>
        <w:numPr>
          <w:ilvl w:val="0"/>
          <w:numId w:val="19"/>
        </w:numPr>
        <w:autoSpaceDE/>
        <w:autoSpaceDN/>
        <w:jc w:val="both"/>
        <w:rPr>
          <w:rFonts w:ascii="Arial" w:hAnsi="Arial" w:cs="Arial"/>
          <w:sz w:val="20"/>
          <w:szCs w:val="20"/>
          <w:lang w:val="en-CA"/>
        </w:rPr>
      </w:pPr>
      <w:r w:rsidRPr="002A2392">
        <w:rPr>
          <w:rFonts w:ascii="Arial" w:hAnsi="Arial" w:cs="Arial"/>
          <w:sz w:val="20"/>
          <w:szCs w:val="20"/>
          <w:lang w:val="en-CA"/>
        </w:rPr>
        <w:t xml:space="preserve">identifying and developing new markets and </w:t>
      </w:r>
      <w:proofErr w:type="gramStart"/>
      <w:r w:rsidRPr="002A2392">
        <w:rPr>
          <w:rFonts w:ascii="Arial" w:hAnsi="Arial" w:cs="Arial"/>
          <w:sz w:val="20"/>
          <w:szCs w:val="20"/>
          <w:lang w:val="en-CA"/>
        </w:rPr>
        <w:t>products;</w:t>
      </w:r>
      <w:proofErr w:type="gramEnd"/>
    </w:p>
    <w:p w14:paraId="553322A3" w14:textId="77777777" w:rsidR="0075420D" w:rsidRPr="002A2392" w:rsidRDefault="0075420D" w:rsidP="00B724D2">
      <w:pPr>
        <w:widowControl/>
        <w:numPr>
          <w:ilvl w:val="0"/>
          <w:numId w:val="19"/>
        </w:numPr>
        <w:autoSpaceDE/>
        <w:autoSpaceDN/>
        <w:jc w:val="both"/>
        <w:rPr>
          <w:rFonts w:ascii="Arial" w:hAnsi="Arial" w:cs="Arial"/>
          <w:sz w:val="20"/>
          <w:szCs w:val="20"/>
          <w:lang w:val="en-CA"/>
        </w:rPr>
      </w:pPr>
      <w:r w:rsidRPr="002A2392">
        <w:rPr>
          <w:rFonts w:ascii="Arial" w:hAnsi="Arial" w:cs="Arial"/>
          <w:sz w:val="20"/>
          <w:szCs w:val="20"/>
          <w:lang w:val="en-CA"/>
        </w:rPr>
        <w:t xml:space="preserve">identifying and acquiring other businesses that are suitable acquisition </w:t>
      </w:r>
      <w:proofErr w:type="gramStart"/>
      <w:r w:rsidRPr="002A2392">
        <w:rPr>
          <w:rFonts w:ascii="Arial" w:hAnsi="Arial" w:cs="Arial"/>
          <w:sz w:val="20"/>
          <w:szCs w:val="20"/>
          <w:lang w:val="en-CA"/>
        </w:rPr>
        <w:t>candidates;</w:t>
      </w:r>
      <w:proofErr w:type="gramEnd"/>
    </w:p>
    <w:p w14:paraId="25C499DD" w14:textId="77777777" w:rsidR="0075420D" w:rsidRPr="002A2392" w:rsidRDefault="0075420D" w:rsidP="00B724D2">
      <w:pPr>
        <w:widowControl/>
        <w:numPr>
          <w:ilvl w:val="0"/>
          <w:numId w:val="19"/>
        </w:numPr>
        <w:autoSpaceDE/>
        <w:autoSpaceDN/>
        <w:jc w:val="both"/>
        <w:rPr>
          <w:rFonts w:ascii="Arial" w:hAnsi="Arial" w:cs="Arial"/>
          <w:sz w:val="20"/>
          <w:szCs w:val="20"/>
          <w:lang w:val="en-CA"/>
        </w:rPr>
      </w:pPr>
      <w:r w:rsidRPr="002A2392">
        <w:rPr>
          <w:rFonts w:ascii="Arial" w:hAnsi="Arial" w:cs="Arial"/>
          <w:sz w:val="20"/>
          <w:szCs w:val="20"/>
          <w:lang w:val="en-CA"/>
        </w:rPr>
        <w:t xml:space="preserve">successfully integrating any acquired businesses with existing </w:t>
      </w:r>
      <w:proofErr w:type="gramStart"/>
      <w:r w:rsidRPr="002A2392">
        <w:rPr>
          <w:rFonts w:ascii="Arial" w:hAnsi="Arial" w:cs="Arial"/>
          <w:sz w:val="20"/>
          <w:szCs w:val="20"/>
          <w:lang w:val="en-CA"/>
        </w:rPr>
        <w:t>operations;</w:t>
      </w:r>
      <w:proofErr w:type="gramEnd"/>
    </w:p>
    <w:p w14:paraId="024F742D" w14:textId="77777777" w:rsidR="0075420D" w:rsidRPr="002A2392" w:rsidRDefault="0075420D" w:rsidP="00B724D2">
      <w:pPr>
        <w:widowControl/>
        <w:numPr>
          <w:ilvl w:val="0"/>
          <w:numId w:val="19"/>
        </w:numPr>
        <w:autoSpaceDE/>
        <w:autoSpaceDN/>
        <w:jc w:val="both"/>
        <w:rPr>
          <w:rFonts w:ascii="Arial" w:hAnsi="Arial" w:cs="Arial"/>
          <w:sz w:val="20"/>
          <w:szCs w:val="20"/>
          <w:lang w:val="en-CA"/>
        </w:rPr>
      </w:pPr>
      <w:r w:rsidRPr="002A2392">
        <w:rPr>
          <w:rFonts w:ascii="Arial" w:hAnsi="Arial" w:cs="Arial"/>
          <w:sz w:val="20"/>
          <w:szCs w:val="20"/>
          <w:lang w:val="en-CA"/>
        </w:rPr>
        <w:t xml:space="preserve">establishing and maintaining favourable relationships with customers in new markets, and maintaining these relationships in existing </w:t>
      </w:r>
      <w:proofErr w:type="gramStart"/>
      <w:r w:rsidRPr="002A2392">
        <w:rPr>
          <w:rFonts w:ascii="Arial" w:hAnsi="Arial" w:cs="Arial"/>
          <w:sz w:val="20"/>
          <w:szCs w:val="20"/>
          <w:lang w:val="en-CA"/>
        </w:rPr>
        <w:t>markets;</w:t>
      </w:r>
      <w:proofErr w:type="gramEnd"/>
    </w:p>
    <w:p w14:paraId="3D28A15D" w14:textId="7E45385C" w:rsidR="0075420D" w:rsidRPr="002A2392" w:rsidRDefault="0075420D" w:rsidP="00B724D2">
      <w:pPr>
        <w:widowControl/>
        <w:numPr>
          <w:ilvl w:val="0"/>
          <w:numId w:val="19"/>
        </w:numPr>
        <w:autoSpaceDE/>
        <w:autoSpaceDN/>
        <w:jc w:val="both"/>
        <w:rPr>
          <w:rFonts w:ascii="Arial" w:hAnsi="Arial" w:cs="Arial"/>
          <w:sz w:val="20"/>
          <w:szCs w:val="20"/>
          <w:lang w:val="en-CA"/>
        </w:rPr>
      </w:pPr>
      <w:r w:rsidRPr="002A2392">
        <w:rPr>
          <w:rFonts w:ascii="Arial" w:hAnsi="Arial" w:cs="Arial"/>
          <w:sz w:val="20"/>
          <w:szCs w:val="20"/>
          <w:lang w:val="en-CA"/>
        </w:rPr>
        <w:t>establishing and maintaining favourable relationships with suppliers in new markets</w:t>
      </w:r>
      <w:r w:rsidR="00526D93">
        <w:rPr>
          <w:rFonts w:ascii="Arial" w:hAnsi="Arial" w:cs="Arial"/>
          <w:sz w:val="20"/>
          <w:szCs w:val="20"/>
          <w:lang w:val="en-CA"/>
        </w:rPr>
        <w:t xml:space="preserve">, </w:t>
      </w:r>
      <w:r w:rsidRPr="002A2392">
        <w:rPr>
          <w:rFonts w:ascii="Arial" w:hAnsi="Arial" w:cs="Arial"/>
          <w:sz w:val="20"/>
          <w:szCs w:val="20"/>
          <w:lang w:val="en-CA"/>
        </w:rPr>
        <w:t>and maintaining these relationships in existing markets; and</w:t>
      </w:r>
    </w:p>
    <w:p w14:paraId="5AC33D69" w14:textId="77777777" w:rsidR="0075420D" w:rsidRPr="002A2392" w:rsidRDefault="0075420D" w:rsidP="00B724D2">
      <w:pPr>
        <w:widowControl/>
        <w:numPr>
          <w:ilvl w:val="0"/>
          <w:numId w:val="19"/>
        </w:numPr>
        <w:autoSpaceDE/>
        <w:autoSpaceDN/>
        <w:jc w:val="both"/>
        <w:rPr>
          <w:rFonts w:ascii="Arial" w:hAnsi="Arial" w:cs="Arial"/>
          <w:sz w:val="20"/>
          <w:szCs w:val="20"/>
          <w:lang w:val="en-CA"/>
        </w:rPr>
      </w:pPr>
      <w:r w:rsidRPr="002A2392">
        <w:rPr>
          <w:rFonts w:ascii="Arial" w:hAnsi="Arial" w:cs="Arial"/>
          <w:sz w:val="20"/>
          <w:szCs w:val="20"/>
          <w:lang w:val="en-CA"/>
        </w:rPr>
        <w:t>successfully managing expansion and obtaining required financing.</w:t>
      </w:r>
    </w:p>
    <w:p w14:paraId="0F17C0B6" w14:textId="77777777" w:rsidR="0075420D" w:rsidRPr="002A2392" w:rsidRDefault="0075420D" w:rsidP="0075420D">
      <w:pPr>
        <w:jc w:val="both"/>
        <w:rPr>
          <w:rFonts w:ascii="Arial" w:hAnsi="Arial" w:cs="Arial"/>
          <w:sz w:val="20"/>
          <w:szCs w:val="20"/>
          <w:lang w:val="en-CA"/>
        </w:rPr>
      </w:pPr>
    </w:p>
    <w:p w14:paraId="09D11039" w14:textId="0FAD24B4" w:rsidR="0075420D" w:rsidRPr="002A2392" w:rsidRDefault="0075420D" w:rsidP="0075420D">
      <w:pPr>
        <w:jc w:val="both"/>
        <w:rPr>
          <w:rFonts w:ascii="Arial" w:hAnsi="Arial" w:cs="Arial"/>
          <w:sz w:val="20"/>
          <w:szCs w:val="20"/>
          <w:lang w:val="en-CA"/>
        </w:rPr>
      </w:pPr>
      <w:r w:rsidRPr="002A2392">
        <w:rPr>
          <w:rFonts w:ascii="Arial" w:hAnsi="Arial" w:cs="Arial"/>
          <w:sz w:val="20"/>
          <w:szCs w:val="20"/>
          <w:lang w:val="en-CA"/>
        </w:rPr>
        <w:t>In addition, the Company will depend on its ability to implemen</w:t>
      </w:r>
      <w:r w:rsidR="00907FF3" w:rsidRPr="002A2392">
        <w:rPr>
          <w:rFonts w:ascii="Arial" w:hAnsi="Arial" w:cs="Arial"/>
          <w:sz w:val="20"/>
          <w:szCs w:val="20"/>
          <w:lang w:val="en-CA"/>
        </w:rPr>
        <w:t>t and integrate</w:t>
      </w:r>
      <w:r w:rsidRPr="002A2392">
        <w:rPr>
          <w:rFonts w:ascii="Arial" w:hAnsi="Arial" w:cs="Arial"/>
          <w:sz w:val="20"/>
          <w:szCs w:val="20"/>
          <w:lang w:val="en-CA"/>
        </w:rPr>
        <w:t xml:space="preserve"> the following elements of its growth strategy:</w:t>
      </w:r>
    </w:p>
    <w:p w14:paraId="34680B30" w14:textId="77777777" w:rsidR="0075420D" w:rsidRPr="002A2392" w:rsidRDefault="0075420D" w:rsidP="00B724D2">
      <w:pPr>
        <w:widowControl/>
        <w:numPr>
          <w:ilvl w:val="0"/>
          <w:numId w:val="19"/>
        </w:numPr>
        <w:autoSpaceDE/>
        <w:autoSpaceDN/>
        <w:jc w:val="both"/>
        <w:rPr>
          <w:rFonts w:ascii="Arial" w:hAnsi="Arial" w:cs="Arial"/>
          <w:sz w:val="20"/>
          <w:szCs w:val="20"/>
          <w:lang w:val="en-CA"/>
        </w:rPr>
      </w:pPr>
      <w:r w:rsidRPr="002A2392">
        <w:rPr>
          <w:rFonts w:ascii="Arial" w:hAnsi="Arial" w:cs="Arial"/>
          <w:sz w:val="20"/>
          <w:szCs w:val="20"/>
          <w:lang w:val="en-CA"/>
        </w:rPr>
        <w:t xml:space="preserve">develop and expand sales through </w:t>
      </w:r>
      <w:proofErr w:type="gramStart"/>
      <w:r w:rsidRPr="002A2392">
        <w:rPr>
          <w:rFonts w:ascii="Arial" w:hAnsi="Arial" w:cs="Arial"/>
          <w:sz w:val="20"/>
          <w:szCs w:val="20"/>
          <w:lang w:val="en-CA"/>
        </w:rPr>
        <w:t>acquisitions;</w:t>
      </w:r>
      <w:proofErr w:type="gramEnd"/>
    </w:p>
    <w:p w14:paraId="1681F7EC" w14:textId="77777777" w:rsidR="0075420D" w:rsidRPr="002A2392" w:rsidRDefault="0075420D" w:rsidP="00B724D2">
      <w:pPr>
        <w:widowControl/>
        <w:numPr>
          <w:ilvl w:val="0"/>
          <w:numId w:val="19"/>
        </w:numPr>
        <w:autoSpaceDE/>
        <w:autoSpaceDN/>
        <w:jc w:val="both"/>
        <w:rPr>
          <w:rFonts w:ascii="Arial" w:hAnsi="Arial" w:cs="Arial"/>
          <w:sz w:val="20"/>
          <w:szCs w:val="20"/>
          <w:lang w:val="en-CA"/>
        </w:rPr>
      </w:pPr>
      <w:r w:rsidRPr="002A2392">
        <w:rPr>
          <w:rFonts w:ascii="Arial" w:hAnsi="Arial" w:cs="Arial"/>
          <w:sz w:val="20"/>
          <w:szCs w:val="20"/>
          <w:lang w:val="en-CA"/>
        </w:rPr>
        <w:t>introduce new product lines; and</w:t>
      </w:r>
    </w:p>
    <w:p w14:paraId="081AB269" w14:textId="6B8A92F3" w:rsidR="0075420D" w:rsidRPr="002A2392" w:rsidRDefault="0075420D" w:rsidP="0075420D">
      <w:pPr>
        <w:widowControl/>
        <w:numPr>
          <w:ilvl w:val="0"/>
          <w:numId w:val="19"/>
        </w:numPr>
        <w:autoSpaceDE/>
        <w:autoSpaceDN/>
        <w:jc w:val="both"/>
        <w:rPr>
          <w:rFonts w:ascii="Arial" w:hAnsi="Arial" w:cs="Arial"/>
          <w:sz w:val="20"/>
          <w:szCs w:val="20"/>
          <w:lang w:val="en-CA"/>
        </w:rPr>
      </w:pPr>
      <w:r w:rsidRPr="002A2392">
        <w:rPr>
          <w:rFonts w:ascii="Arial" w:hAnsi="Arial" w:cs="Arial"/>
          <w:sz w:val="20"/>
          <w:szCs w:val="20"/>
          <w:lang w:val="en-CA"/>
        </w:rPr>
        <w:t>carry out acquisitions, including identifying to the extent possible liabilities of the newly acquired businesses.</w:t>
      </w:r>
    </w:p>
    <w:p w14:paraId="3E346113" w14:textId="77777777" w:rsidR="00A806C9" w:rsidRPr="002A2392" w:rsidRDefault="00A806C9" w:rsidP="00A806C9">
      <w:pPr>
        <w:widowControl/>
        <w:autoSpaceDE/>
        <w:autoSpaceDN/>
        <w:ind w:left="720"/>
        <w:jc w:val="both"/>
        <w:rPr>
          <w:rFonts w:ascii="Arial" w:hAnsi="Arial" w:cs="Arial"/>
          <w:sz w:val="20"/>
          <w:szCs w:val="20"/>
          <w:lang w:val="en-CA"/>
        </w:rPr>
      </w:pPr>
    </w:p>
    <w:p w14:paraId="033B2550" w14:textId="77777777" w:rsidR="0075420D" w:rsidRPr="002A2392" w:rsidRDefault="0075420D" w:rsidP="0075420D">
      <w:pPr>
        <w:jc w:val="both"/>
        <w:rPr>
          <w:rFonts w:ascii="Arial" w:hAnsi="Arial" w:cs="Arial"/>
          <w:b/>
          <w:sz w:val="20"/>
          <w:szCs w:val="20"/>
          <w:lang w:val="en-CA"/>
        </w:rPr>
      </w:pPr>
      <w:r w:rsidRPr="002A2392">
        <w:rPr>
          <w:rFonts w:ascii="Arial" w:hAnsi="Arial" w:cs="Arial"/>
          <w:b/>
          <w:sz w:val="20"/>
          <w:szCs w:val="20"/>
          <w:lang w:val="en-CA"/>
        </w:rPr>
        <w:t>Management of Growth</w:t>
      </w:r>
    </w:p>
    <w:p w14:paraId="0F132643" w14:textId="77777777" w:rsidR="0075420D" w:rsidRPr="002A2392" w:rsidRDefault="0075420D" w:rsidP="0075420D">
      <w:pPr>
        <w:jc w:val="both"/>
        <w:rPr>
          <w:rFonts w:ascii="Arial" w:hAnsi="Arial" w:cs="Arial"/>
          <w:sz w:val="20"/>
          <w:szCs w:val="20"/>
          <w:lang w:val="en-CA"/>
        </w:rPr>
      </w:pPr>
    </w:p>
    <w:p w14:paraId="67BA12E9" w14:textId="2B53C751" w:rsidR="0075420D" w:rsidRPr="002A2392" w:rsidRDefault="0075420D" w:rsidP="0075420D">
      <w:pPr>
        <w:jc w:val="both"/>
        <w:rPr>
          <w:rFonts w:ascii="Arial" w:hAnsi="Arial" w:cs="Arial"/>
          <w:sz w:val="20"/>
          <w:szCs w:val="20"/>
          <w:lang w:val="en-CA"/>
        </w:rPr>
      </w:pPr>
      <w:r w:rsidRPr="002A2392">
        <w:rPr>
          <w:rFonts w:ascii="Arial" w:hAnsi="Arial" w:cs="Arial"/>
          <w:sz w:val="20"/>
          <w:szCs w:val="20"/>
          <w:lang w:val="en-CA"/>
        </w:rPr>
        <w:t xml:space="preserve">The inability of the Company to successfully manage its growth could have a material adverse effect on its operating results and cause its results from operations to fluctuate.  As part of the Company’s growth strategy, it intends to introduce new product lines, pursue </w:t>
      </w:r>
      <w:proofErr w:type="gramStart"/>
      <w:r w:rsidRPr="002A2392">
        <w:rPr>
          <w:rFonts w:ascii="Arial" w:hAnsi="Arial" w:cs="Arial"/>
          <w:sz w:val="20"/>
          <w:szCs w:val="20"/>
          <w:lang w:val="en-CA"/>
        </w:rPr>
        <w:t>acquisitions</w:t>
      </w:r>
      <w:proofErr w:type="gramEnd"/>
      <w:r w:rsidRPr="002A2392">
        <w:rPr>
          <w:rFonts w:ascii="Arial" w:hAnsi="Arial" w:cs="Arial"/>
          <w:sz w:val="20"/>
          <w:szCs w:val="20"/>
          <w:lang w:val="en-CA"/>
        </w:rPr>
        <w:t xml:space="preserve"> and expand sales to existing and new customers, in new and existing territories.  The Company’s expense levels are based, in part, on expected future revenues and the Company is constrained in its ability to reduce expenses quickly if for any reason its sales levels do not meet expectations in a </w:t>
      </w:r>
      <w:r w:rsidR="00090D0A" w:rsidRPr="002A2392">
        <w:rPr>
          <w:rFonts w:ascii="Arial" w:hAnsi="Arial" w:cs="Arial"/>
          <w:sz w:val="20"/>
          <w:szCs w:val="20"/>
          <w:lang w:val="en-CA"/>
        </w:rPr>
        <w:t>quarter</w:t>
      </w:r>
      <w:r w:rsidRPr="002A2392">
        <w:rPr>
          <w:rFonts w:ascii="Arial" w:hAnsi="Arial" w:cs="Arial"/>
          <w:sz w:val="20"/>
          <w:szCs w:val="20"/>
          <w:lang w:val="en-CA"/>
        </w:rPr>
        <w:t xml:space="preserve"> or period.  Furthermore, rapid expansion may place a significant strain on the Company’s senior management team and other key personnel as well as its business processes, </w:t>
      </w:r>
      <w:proofErr w:type="gramStart"/>
      <w:r w:rsidRPr="002A2392">
        <w:rPr>
          <w:rFonts w:ascii="Arial" w:hAnsi="Arial" w:cs="Arial"/>
          <w:sz w:val="20"/>
          <w:szCs w:val="20"/>
          <w:lang w:val="en-CA"/>
        </w:rPr>
        <w:t>operations</w:t>
      </w:r>
      <w:proofErr w:type="gramEnd"/>
      <w:r w:rsidRPr="002A2392">
        <w:rPr>
          <w:rFonts w:ascii="Arial" w:hAnsi="Arial" w:cs="Arial"/>
          <w:sz w:val="20"/>
          <w:szCs w:val="20"/>
          <w:lang w:val="en-CA"/>
        </w:rPr>
        <w:t xml:space="preserve"> and other resources.  The Company’s ability to manage growth will also depend in part on its ability to continue to enhance its management information systems in a timely fashion, particularly if customer demands change in ways that the Company does not anticipate.  Any inability to manage growth could result in delivery delays and cancellation of customer orders, which could have a material adverse effect on the Company’s business.</w:t>
      </w:r>
    </w:p>
    <w:p w14:paraId="4D584A77" w14:textId="77777777" w:rsidR="0039371D" w:rsidRPr="002A2392" w:rsidRDefault="0039371D" w:rsidP="0075420D">
      <w:pPr>
        <w:jc w:val="both"/>
        <w:rPr>
          <w:rFonts w:ascii="Arial" w:hAnsi="Arial" w:cs="Arial"/>
          <w:b/>
          <w:sz w:val="20"/>
          <w:szCs w:val="20"/>
          <w:lang w:val="en-CA"/>
        </w:rPr>
      </w:pPr>
    </w:p>
    <w:p w14:paraId="6C5C32AE" w14:textId="77777777" w:rsidR="0075420D" w:rsidRPr="002A2392" w:rsidRDefault="0075420D" w:rsidP="0075420D">
      <w:pPr>
        <w:jc w:val="both"/>
        <w:rPr>
          <w:rFonts w:ascii="Arial" w:hAnsi="Arial" w:cs="Arial"/>
          <w:b/>
          <w:sz w:val="20"/>
          <w:szCs w:val="20"/>
          <w:lang w:val="en-CA"/>
        </w:rPr>
      </w:pPr>
      <w:r w:rsidRPr="002A2392">
        <w:rPr>
          <w:rFonts w:ascii="Arial" w:hAnsi="Arial" w:cs="Arial"/>
          <w:b/>
          <w:sz w:val="20"/>
          <w:szCs w:val="20"/>
          <w:lang w:val="en-CA"/>
        </w:rPr>
        <w:t>Maintenance Obligations and Facility Disruptions</w:t>
      </w:r>
    </w:p>
    <w:p w14:paraId="28112909" w14:textId="77777777" w:rsidR="0075420D" w:rsidRPr="002A2392" w:rsidRDefault="0075420D" w:rsidP="0075420D">
      <w:pPr>
        <w:jc w:val="both"/>
        <w:rPr>
          <w:rFonts w:ascii="Arial" w:hAnsi="Arial" w:cs="Arial"/>
          <w:sz w:val="20"/>
          <w:szCs w:val="20"/>
          <w:lang w:val="en-CA"/>
        </w:rPr>
      </w:pPr>
    </w:p>
    <w:p w14:paraId="3EFD64B6" w14:textId="24236FBC" w:rsidR="0075420D" w:rsidRDefault="0075420D" w:rsidP="0075420D">
      <w:pPr>
        <w:jc w:val="both"/>
        <w:rPr>
          <w:rFonts w:ascii="Arial" w:hAnsi="Arial" w:cs="Arial"/>
          <w:sz w:val="20"/>
          <w:szCs w:val="20"/>
          <w:lang w:val="en-CA"/>
        </w:rPr>
      </w:pPr>
      <w:r w:rsidRPr="002A2392">
        <w:rPr>
          <w:rFonts w:ascii="Arial" w:hAnsi="Arial" w:cs="Arial"/>
          <w:sz w:val="20"/>
          <w:szCs w:val="20"/>
          <w:lang w:val="en-CA"/>
        </w:rPr>
        <w:t xml:space="preserve">The Company’s manufacturing processes are vulnerable to operational problems that could impair the ability to manufacture products.  The Company could experience a breakdown in any of their machines or other important equipment, and from time to time, planned or unplanned maintenance outages that cannot be performed safely or efficiently during normal hours of operation.  Such disruptions could cause a loss of production, which could potentially have a material adverse effect on the business, financial </w:t>
      </w:r>
      <w:proofErr w:type="gramStart"/>
      <w:r w:rsidRPr="002A2392">
        <w:rPr>
          <w:rFonts w:ascii="Arial" w:hAnsi="Arial" w:cs="Arial"/>
          <w:sz w:val="20"/>
          <w:szCs w:val="20"/>
          <w:lang w:val="en-CA"/>
        </w:rPr>
        <w:t>condition</w:t>
      </w:r>
      <w:proofErr w:type="gramEnd"/>
      <w:r w:rsidRPr="002A2392">
        <w:rPr>
          <w:rFonts w:ascii="Arial" w:hAnsi="Arial" w:cs="Arial"/>
          <w:sz w:val="20"/>
          <w:szCs w:val="20"/>
          <w:lang w:val="en-CA"/>
        </w:rPr>
        <w:t xml:space="preserve"> and operating results.</w:t>
      </w:r>
    </w:p>
    <w:p w14:paraId="7E82547D" w14:textId="77777777" w:rsidR="00120497" w:rsidRPr="002A2392" w:rsidRDefault="00120497" w:rsidP="0075420D">
      <w:pPr>
        <w:jc w:val="both"/>
        <w:rPr>
          <w:rFonts w:ascii="Arial" w:hAnsi="Arial" w:cs="Arial"/>
          <w:sz w:val="20"/>
          <w:szCs w:val="20"/>
          <w:lang w:val="en-CA"/>
        </w:rPr>
      </w:pPr>
    </w:p>
    <w:p w14:paraId="1A0D7169" w14:textId="77777777" w:rsidR="0075420D" w:rsidRPr="002A2392" w:rsidRDefault="0075420D" w:rsidP="0075420D">
      <w:pPr>
        <w:jc w:val="both"/>
        <w:rPr>
          <w:rFonts w:ascii="Arial" w:hAnsi="Arial" w:cs="Arial"/>
          <w:b/>
          <w:sz w:val="20"/>
          <w:szCs w:val="20"/>
          <w:lang w:val="en-CA"/>
        </w:rPr>
      </w:pPr>
      <w:r w:rsidRPr="002A2392">
        <w:rPr>
          <w:rFonts w:ascii="Arial" w:hAnsi="Arial" w:cs="Arial"/>
          <w:b/>
          <w:sz w:val="20"/>
          <w:szCs w:val="20"/>
          <w:lang w:val="en-CA"/>
        </w:rPr>
        <w:t>Dependence on the Housing, Construction, Repair and Remodelling Market</w:t>
      </w:r>
    </w:p>
    <w:p w14:paraId="10C49413" w14:textId="77777777" w:rsidR="0075420D" w:rsidRPr="002A2392" w:rsidRDefault="0075420D" w:rsidP="0075420D">
      <w:pPr>
        <w:jc w:val="both"/>
        <w:rPr>
          <w:rFonts w:ascii="Arial" w:hAnsi="Arial" w:cs="Arial"/>
          <w:sz w:val="20"/>
          <w:szCs w:val="20"/>
          <w:lang w:val="en-CA"/>
        </w:rPr>
      </w:pPr>
    </w:p>
    <w:p w14:paraId="607168F4" w14:textId="0F899B22" w:rsidR="0075420D" w:rsidRPr="002A2392" w:rsidRDefault="0075420D" w:rsidP="0075420D">
      <w:pPr>
        <w:jc w:val="both"/>
        <w:rPr>
          <w:rFonts w:ascii="Arial" w:hAnsi="Arial" w:cs="Arial"/>
          <w:sz w:val="20"/>
          <w:szCs w:val="20"/>
          <w:lang w:val="en-CA"/>
        </w:rPr>
      </w:pPr>
      <w:r w:rsidRPr="002A2392">
        <w:rPr>
          <w:rFonts w:ascii="Arial" w:hAnsi="Arial" w:cs="Arial"/>
          <w:sz w:val="20"/>
          <w:szCs w:val="20"/>
          <w:lang w:val="en-CA"/>
        </w:rPr>
        <w:t xml:space="preserve">The demand for the Company products is primarily affected by the level of new wood-framed residential and commercial construction activity and, to a lesser extent, repair and remodeling activity and other industrial uses, which are subject to fluctuations due to changes in general economic conditions. Decreases in the </w:t>
      </w:r>
      <w:r w:rsidRPr="002A2392">
        <w:rPr>
          <w:rFonts w:ascii="Arial" w:hAnsi="Arial" w:cs="Arial"/>
          <w:sz w:val="20"/>
          <w:szCs w:val="20"/>
          <w:lang w:val="en-CA"/>
        </w:rPr>
        <w:lastRenderedPageBreak/>
        <w:t>level of residential construction activity generally result</w:t>
      </w:r>
      <w:r w:rsidR="00997732">
        <w:rPr>
          <w:rFonts w:ascii="Arial" w:hAnsi="Arial" w:cs="Arial"/>
          <w:sz w:val="20"/>
          <w:szCs w:val="20"/>
          <w:lang w:val="en-CA"/>
        </w:rPr>
        <w:t>s</w:t>
      </w:r>
      <w:r w:rsidRPr="002A2392">
        <w:rPr>
          <w:rFonts w:ascii="Arial" w:hAnsi="Arial" w:cs="Arial"/>
          <w:sz w:val="20"/>
          <w:szCs w:val="20"/>
          <w:lang w:val="en-CA"/>
        </w:rPr>
        <w:t xml:space="preserve"> in lower revenues, profits and cash flows for builders who are important customers to the Company.</w:t>
      </w:r>
    </w:p>
    <w:p w14:paraId="725E840D" w14:textId="77777777" w:rsidR="008F6932" w:rsidRPr="002A2392" w:rsidRDefault="008F6932" w:rsidP="0075420D">
      <w:pPr>
        <w:jc w:val="both"/>
        <w:rPr>
          <w:rFonts w:ascii="Arial" w:hAnsi="Arial" w:cs="Arial"/>
          <w:sz w:val="20"/>
          <w:szCs w:val="20"/>
          <w:lang w:val="en-CA"/>
        </w:rPr>
      </w:pPr>
    </w:p>
    <w:p w14:paraId="5EBAF22C" w14:textId="77777777" w:rsidR="0075420D" w:rsidRPr="002A2392" w:rsidRDefault="0075420D" w:rsidP="0075420D">
      <w:pPr>
        <w:jc w:val="both"/>
        <w:rPr>
          <w:rFonts w:ascii="Arial" w:hAnsi="Arial" w:cs="Arial"/>
          <w:b/>
          <w:sz w:val="20"/>
          <w:szCs w:val="20"/>
          <w:lang w:val="en-CA"/>
        </w:rPr>
      </w:pPr>
      <w:r w:rsidRPr="002A2392">
        <w:rPr>
          <w:rFonts w:ascii="Arial" w:hAnsi="Arial" w:cs="Arial"/>
          <w:b/>
          <w:sz w:val="20"/>
          <w:szCs w:val="20"/>
          <w:lang w:val="en-CA"/>
        </w:rPr>
        <w:t>Fluctuations in Prices and Demand for and Selling Price of Lumber</w:t>
      </w:r>
    </w:p>
    <w:p w14:paraId="44E95814" w14:textId="77777777" w:rsidR="0075420D" w:rsidRPr="002A2392" w:rsidRDefault="0075420D" w:rsidP="0075420D">
      <w:pPr>
        <w:jc w:val="both"/>
        <w:rPr>
          <w:rFonts w:ascii="Arial" w:hAnsi="Arial" w:cs="Arial"/>
          <w:sz w:val="20"/>
          <w:szCs w:val="20"/>
          <w:lang w:val="en-CA"/>
        </w:rPr>
      </w:pPr>
    </w:p>
    <w:p w14:paraId="46E4C5CA" w14:textId="7040A43B" w:rsidR="0075420D" w:rsidRPr="002A2392" w:rsidRDefault="0075420D" w:rsidP="0075420D">
      <w:pPr>
        <w:jc w:val="both"/>
        <w:rPr>
          <w:rFonts w:ascii="Arial" w:hAnsi="Arial" w:cs="Arial"/>
          <w:sz w:val="20"/>
          <w:szCs w:val="20"/>
          <w:lang w:val="en-CA"/>
        </w:rPr>
      </w:pPr>
      <w:r w:rsidRPr="002A2392">
        <w:rPr>
          <w:rFonts w:ascii="Arial" w:hAnsi="Arial" w:cs="Arial"/>
          <w:sz w:val="20"/>
          <w:szCs w:val="20"/>
          <w:lang w:val="en-CA"/>
        </w:rPr>
        <w:t>The Company’s financial performance principally depends on the demand for and selling price of its products.  The markets for lumber products are cyclical and are subject to significant fluctuations.  The markets for lumber are highly volatile and are affected by factors such as North American economic conditions, including the strength of the Canadian and U.S. housing market, the growing importance of the Asian market, changes in industry production capacity, changes in inventory levels and other factors beyond the Company’s control.  In addition, interest rates have a significant effect on residential construction and renovation activity, which in turn influences the demand for and price of lumber.</w:t>
      </w:r>
      <w:r w:rsidR="008F6932" w:rsidRPr="002A2392">
        <w:rPr>
          <w:rFonts w:ascii="Arial" w:hAnsi="Arial" w:cs="Arial"/>
          <w:sz w:val="20"/>
          <w:szCs w:val="20"/>
          <w:lang w:val="en-CA"/>
        </w:rPr>
        <w:t xml:space="preserve"> </w:t>
      </w:r>
    </w:p>
    <w:p w14:paraId="078274CB" w14:textId="77777777" w:rsidR="00192A6A" w:rsidRPr="002A2392" w:rsidRDefault="00192A6A" w:rsidP="0075420D">
      <w:pPr>
        <w:jc w:val="both"/>
        <w:rPr>
          <w:rFonts w:ascii="Arial" w:hAnsi="Arial" w:cs="Arial"/>
          <w:sz w:val="20"/>
          <w:szCs w:val="20"/>
          <w:lang w:val="en-CA"/>
        </w:rPr>
      </w:pPr>
    </w:p>
    <w:p w14:paraId="6C7A3495" w14:textId="77777777" w:rsidR="0075420D" w:rsidRPr="002A2392" w:rsidRDefault="0075420D" w:rsidP="0075420D">
      <w:pPr>
        <w:jc w:val="both"/>
        <w:rPr>
          <w:rFonts w:ascii="Arial" w:hAnsi="Arial" w:cs="Arial"/>
          <w:b/>
          <w:sz w:val="20"/>
          <w:szCs w:val="20"/>
          <w:lang w:val="en-CA"/>
        </w:rPr>
      </w:pPr>
      <w:r w:rsidRPr="002A2392">
        <w:rPr>
          <w:rFonts w:ascii="Arial" w:hAnsi="Arial" w:cs="Arial"/>
          <w:b/>
          <w:sz w:val="20"/>
          <w:szCs w:val="20"/>
          <w:lang w:val="en-CA"/>
        </w:rPr>
        <w:t>Product Liability Claims</w:t>
      </w:r>
    </w:p>
    <w:p w14:paraId="27401A83" w14:textId="77777777" w:rsidR="0075420D" w:rsidRPr="002A2392" w:rsidRDefault="0075420D" w:rsidP="0075420D">
      <w:pPr>
        <w:jc w:val="both"/>
        <w:rPr>
          <w:rFonts w:ascii="Arial" w:hAnsi="Arial" w:cs="Arial"/>
          <w:sz w:val="20"/>
          <w:szCs w:val="20"/>
          <w:lang w:val="en-CA"/>
        </w:rPr>
      </w:pPr>
    </w:p>
    <w:p w14:paraId="6145DA18" w14:textId="77777777" w:rsidR="0075420D" w:rsidRPr="002A2392" w:rsidRDefault="0075420D" w:rsidP="0075420D">
      <w:pPr>
        <w:jc w:val="both"/>
        <w:rPr>
          <w:rFonts w:ascii="Arial" w:hAnsi="Arial" w:cs="Arial"/>
          <w:sz w:val="20"/>
          <w:szCs w:val="20"/>
          <w:lang w:val="en-CA"/>
        </w:rPr>
      </w:pPr>
      <w:r w:rsidRPr="002A2392">
        <w:rPr>
          <w:rFonts w:ascii="Arial" w:hAnsi="Arial" w:cs="Arial"/>
          <w:sz w:val="20"/>
          <w:szCs w:val="20"/>
          <w:lang w:val="en-CA"/>
        </w:rPr>
        <w:t xml:space="preserve">The Company produces engineered </w:t>
      </w:r>
      <w:proofErr w:type="gramStart"/>
      <w:r w:rsidRPr="002A2392">
        <w:rPr>
          <w:rFonts w:ascii="Arial" w:hAnsi="Arial" w:cs="Arial"/>
          <w:sz w:val="20"/>
          <w:szCs w:val="20"/>
          <w:lang w:val="en-CA"/>
        </w:rPr>
        <w:t>products</w:t>
      </w:r>
      <w:proofErr w:type="gramEnd"/>
      <w:r w:rsidRPr="002A2392">
        <w:rPr>
          <w:rFonts w:ascii="Arial" w:hAnsi="Arial" w:cs="Arial"/>
          <w:sz w:val="20"/>
          <w:szCs w:val="20"/>
          <w:lang w:val="en-CA"/>
        </w:rPr>
        <w:t xml:space="preserve"> and each product design is certified by a professional engineer.  Each of these certified products is then inspected and is subject to the building plan and permit which in turn is covered by new homes and buildings protection liability insurance policies.  </w:t>
      </w:r>
    </w:p>
    <w:p w14:paraId="4FCCC800" w14:textId="77777777" w:rsidR="0075420D" w:rsidRPr="002A2392" w:rsidRDefault="0075420D" w:rsidP="0075420D">
      <w:pPr>
        <w:jc w:val="both"/>
        <w:rPr>
          <w:rFonts w:ascii="Arial" w:hAnsi="Arial" w:cs="Arial"/>
          <w:sz w:val="20"/>
          <w:szCs w:val="20"/>
          <w:lang w:val="en-CA"/>
        </w:rPr>
      </w:pPr>
    </w:p>
    <w:p w14:paraId="7E217672" w14:textId="77777777" w:rsidR="0075420D" w:rsidRPr="002A2392" w:rsidRDefault="0075420D" w:rsidP="0075420D">
      <w:pPr>
        <w:jc w:val="both"/>
        <w:rPr>
          <w:rFonts w:ascii="Arial" w:hAnsi="Arial" w:cs="Arial"/>
          <w:sz w:val="20"/>
          <w:szCs w:val="20"/>
          <w:lang w:val="en-CA"/>
        </w:rPr>
      </w:pPr>
      <w:r w:rsidRPr="002A2392">
        <w:rPr>
          <w:rFonts w:ascii="Arial" w:hAnsi="Arial" w:cs="Arial"/>
          <w:sz w:val="20"/>
          <w:szCs w:val="20"/>
          <w:lang w:val="en-CA"/>
        </w:rPr>
        <w:t>Although the Company believes that it maintains adequate insurance coverage, it may from time to time be subject to claims for damages resulting from defects in products that it supplies.  Product liability claims, even if unsuccessful, may result in significant litigation costs to defend the claims as well as other costs incurred to remedy the problem, such as product recalls, which could substantially increase the Company’s expenses.  Successful or partially successful product liability claims could result in significant monetary liability and could seriously disrupt the Business, particularly if the Company’s insurance coverage is inadequate or unavailable in respect of any such claims.</w:t>
      </w:r>
    </w:p>
    <w:p w14:paraId="64C9FA6F" w14:textId="77777777" w:rsidR="0075420D" w:rsidRPr="002A2392" w:rsidRDefault="0075420D" w:rsidP="0075420D">
      <w:pPr>
        <w:jc w:val="both"/>
        <w:rPr>
          <w:rFonts w:ascii="Arial" w:hAnsi="Arial" w:cs="Arial"/>
          <w:sz w:val="20"/>
          <w:szCs w:val="20"/>
          <w:lang w:val="en-CA"/>
        </w:rPr>
      </w:pPr>
    </w:p>
    <w:p w14:paraId="33995A74" w14:textId="77777777" w:rsidR="0075420D" w:rsidRPr="002A2392" w:rsidRDefault="0075420D" w:rsidP="0075420D">
      <w:pPr>
        <w:jc w:val="both"/>
        <w:rPr>
          <w:rFonts w:ascii="Arial" w:hAnsi="Arial" w:cs="Arial"/>
          <w:sz w:val="20"/>
          <w:szCs w:val="20"/>
          <w:lang w:val="en-CA"/>
        </w:rPr>
      </w:pPr>
      <w:r w:rsidRPr="002A2392">
        <w:rPr>
          <w:rFonts w:ascii="Arial" w:hAnsi="Arial" w:cs="Arial"/>
          <w:sz w:val="20"/>
          <w:szCs w:val="20"/>
          <w:lang w:val="en-CA"/>
        </w:rPr>
        <w:t>Furthermore, a highly publicized actual or perceived problem with products that the Company supplies could adversely affect the market’s perception of its products which may result in a decline in demand for products supplied by the Company, thereby reducing the Company’s revenues and operating results, which could have a material adverse effect on its business.</w:t>
      </w:r>
    </w:p>
    <w:p w14:paraId="1D2FDDB9" w14:textId="77777777" w:rsidR="0075420D" w:rsidRPr="002A2392" w:rsidRDefault="0075420D" w:rsidP="0075420D">
      <w:pPr>
        <w:jc w:val="both"/>
        <w:rPr>
          <w:rFonts w:ascii="Arial" w:hAnsi="Arial" w:cs="Arial"/>
          <w:b/>
          <w:sz w:val="20"/>
          <w:szCs w:val="20"/>
          <w:lang w:val="en-CA"/>
        </w:rPr>
      </w:pPr>
    </w:p>
    <w:p w14:paraId="76126776" w14:textId="77777777" w:rsidR="0075420D" w:rsidRPr="002A2392" w:rsidRDefault="0075420D" w:rsidP="0075420D">
      <w:pPr>
        <w:jc w:val="both"/>
        <w:rPr>
          <w:rFonts w:ascii="Arial" w:hAnsi="Arial" w:cs="Arial"/>
          <w:b/>
          <w:sz w:val="20"/>
          <w:szCs w:val="20"/>
          <w:lang w:val="en-CA"/>
        </w:rPr>
      </w:pPr>
      <w:r w:rsidRPr="002A2392">
        <w:rPr>
          <w:rFonts w:ascii="Arial" w:hAnsi="Arial" w:cs="Arial"/>
          <w:b/>
          <w:sz w:val="20"/>
          <w:szCs w:val="20"/>
          <w:lang w:val="en-CA"/>
        </w:rPr>
        <w:t>Uninsured or Uninsurable Risk</w:t>
      </w:r>
    </w:p>
    <w:p w14:paraId="3B180D8F" w14:textId="77777777" w:rsidR="0075420D" w:rsidRPr="002A2392" w:rsidRDefault="0075420D" w:rsidP="0075420D">
      <w:pPr>
        <w:jc w:val="both"/>
        <w:rPr>
          <w:rFonts w:ascii="Arial" w:hAnsi="Arial" w:cs="Arial"/>
          <w:sz w:val="20"/>
          <w:szCs w:val="20"/>
          <w:lang w:val="en-CA"/>
        </w:rPr>
      </w:pPr>
    </w:p>
    <w:p w14:paraId="647F3B44" w14:textId="42A4E9EE" w:rsidR="0075420D" w:rsidRPr="002A2392" w:rsidRDefault="0075420D" w:rsidP="0075420D">
      <w:pPr>
        <w:jc w:val="both"/>
        <w:rPr>
          <w:rFonts w:ascii="Arial" w:hAnsi="Arial" w:cs="Arial"/>
          <w:sz w:val="20"/>
          <w:szCs w:val="20"/>
          <w:lang w:val="en-CA"/>
        </w:rPr>
      </w:pPr>
      <w:r w:rsidRPr="002A2392">
        <w:rPr>
          <w:rFonts w:ascii="Arial" w:hAnsi="Arial" w:cs="Arial"/>
          <w:sz w:val="20"/>
          <w:szCs w:val="20"/>
          <w:lang w:val="en-CA"/>
        </w:rPr>
        <w:t>The Company may become subject to liability for risks against which it cannot insure or against which the Company may elect not to insure due to the high cost of insurance premiums or other factors. The payment of any such liabilities would reduce the funds available for the Company's usual business activities. Payment of liabilities for which the Company does not carry insurance may have a material adverse effect on the Company's financial position and operations.</w:t>
      </w:r>
    </w:p>
    <w:p w14:paraId="0494B3AB" w14:textId="77777777" w:rsidR="003C48BE" w:rsidRPr="002A2392" w:rsidRDefault="003C48BE" w:rsidP="0075420D">
      <w:pPr>
        <w:jc w:val="both"/>
        <w:rPr>
          <w:rFonts w:ascii="Arial" w:hAnsi="Arial" w:cs="Arial"/>
          <w:b/>
          <w:sz w:val="20"/>
          <w:szCs w:val="20"/>
          <w:lang w:val="en-CA"/>
        </w:rPr>
      </w:pPr>
    </w:p>
    <w:p w14:paraId="00117C18" w14:textId="43D5D1D8" w:rsidR="0075420D" w:rsidRPr="002A2392" w:rsidRDefault="0075420D" w:rsidP="0075420D">
      <w:pPr>
        <w:jc w:val="both"/>
        <w:rPr>
          <w:rFonts w:ascii="Arial" w:hAnsi="Arial" w:cs="Arial"/>
          <w:b/>
          <w:sz w:val="20"/>
          <w:szCs w:val="20"/>
          <w:lang w:val="en-CA"/>
        </w:rPr>
      </w:pPr>
      <w:r w:rsidRPr="002A2392">
        <w:rPr>
          <w:rFonts w:ascii="Arial" w:hAnsi="Arial" w:cs="Arial"/>
          <w:b/>
          <w:sz w:val="20"/>
          <w:szCs w:val="20"/>
          <w:lang w:val="en-CA"/>
        </w:rPr>
        <w:t>Competition</w:t>
      </w:r>
    </w:p>
    <w:p w14:paraId="39D256C6" w14:textId="77777777" w:rsidR="0075420D" w:rsidRPr="002A2392" w:rsidRDefault="0075420D" w:rsidP="0075420D">
      <w:pPr>
        <w:jc w:val="both"/>
        <w:rPr>
          <w:rFonts w:ascii="Arial" w:hAnsi="Arial" w:cs="Arial"/>
          <w:sz w:val="20"/>
          <w:szCs w:val="20"/>
          <w:lang w:val="en-CA"/>
        </w:rPr>
      </w:pPr>
    </w:p>
    <w:p w14:paraId="1F2CE7D9" w14:textId="68F02D67" w:rsidR="0075420D" w:rsidRDefault="0075420D" w:rsidP="0075420D">
      <w:pPr>
        <w:jc w:val="both"/>
        <w:rPr>
          <w:rFonts w:ascii="Arial" w:hAnsi="Arial" w:cs="Arial"/>
          <w:sz w:val="20"/>
          <w:szCs w:val="20"/>
          <w:lang w:val="en-CA"/>
        </w:rPr>
      </w:pPr>
      <w:r w:rsidRPr="002A2392">
        <w:rPr>
          <w:rFonts w:ascii="Arial" w:hAnsi="Arial" w:cs="Arial"/>
          <w:sz w:val="20"/>
          <w:szCs w:val="20"/>
          <w:lang w:val="en-CA"/>
        </w:rPr>
        <w:t>The Company may face significant competition in selling its products and services.  Many competitors may have substantial marketing, financial, development and personnel resources.  To remain competitive, the Company believes that it must effectively and economically provide: (i) products and services that satisfy customer demands, (ii) superior sales and customer service, (iii) high levels of quality and reliability, and (iv) dependable and efficient distribution networks.  Increased competition may require the Company to reduce prices or increase spending on sales and marketing and customer support, which may have a material adverse effect on its financial condition and results of operations. Any decrease in the quality of the Company’s products or level of service to customers or any occurrence of a price war among the Company’s competitors and the Company may adversely affect the business and its results from operations.</w:t>
      </w:r>
    </w:p>
    <w:p w14:paraId="610ABB22" w14:textId="77777777" w:rsidR="00120497" w:rsidRPr="00DB6199" w:rsidRDefault="00120497" w:rsidP="0075420D">
      <w:pPr>
        <w:jc w:val="both"/>
        <w:rPr>
          <w:rFonts w:ascii="Arial" w:hAnsi="Arial" w:cs="Arial"/>
          <w:sz w:val="20"/>
          <w:szCs w:val="20"/>
          <w:lang w:val="en-CA"/>
        </w:rPr>
      </w:pPr>
    </w:p>
    <w:p w14:paraId="18C73931" w14:textId="77777777" w:rsidR="0075420D" w:rsidRPr="002A2392" w:rsidRDefault="0075420D" w:rsidP="0075420D">
      <w:pPr>
        <w:jc w:val="both"/>
        <w:rPr>
          <w:rFonts w:ascii="Arial" w:hAnsi="Arial" w:cs="Arial"/>
          <w:b/>
          <w:sz w:val="20"/>
          <w:szCs w:val="20"/>
          <w:lang w:val="en-CA"/>
        </w:rPr>
      </w:pPr>
      <w:r w:rsidRPr="002A2392">
        <w:rPr>
          <w:rFonts w:ascii="Arial" w:hAnsi="Arial" w:cs="Arial"/>
          <w:b/>
          <w:sz w:val="20"/>
          <w:szCs w:val="20"/>
          <w:lang w:val="en-CA"/>
        </w:rPr>
        <w:t>Patent Infringement</w:t>
      </w:r>
    </w:p>
    <w:p w14:paraId="2DE9B99C" w14:textId="77777777" w:rsidR="0075420D" w:rsidRPr="002A2392" w:rsidRDefault="0075420D" w:rsidP="0075420D">
      <w:pPr>
        <w:jc w:val="both"/>
        <w:rPr>
          <w:rFonts w:ascii="Arial" w:hAnsi="Arial" w:cs="Arial"/>
          <w:sz w:val="20"/>
          <w:szCs w:val="20"/>
          <w:lang w:val="en-CA"/>
        </w:rPr>
      </w:pPr>
    </w:p>
    <w:p w14:paraId="7A8260F9" w14:textId="29A5ACC6" w:rsidR="0075420D" w:rsidRPr="002A2392" w:rsidRDefault="0075420D" w:rsidP="0075420D">
      <w:pPr>
        <w:jc w:val="both"/>
        <w:rPr>
          <w:rFonts w:ascii="Arial" w:hAnsi="Arial" w:cs="Arial"/>
          <w:sz w:val="20"/>
          <w:szCs w:val="20"/>
          <w:lang w:val="en-CA"/>
        </w:rPr>
      </w:pPr>
      <w:r w:rsidRPr="002A2392">
        <w:rPr>
          <w:rFonts w:ascii="Arial" w:hAnsi="Arial" w:cs="Arial"/>
          <w:sz w:val="20"/>
          <w:szCs w:val="20"/>
          <w:lang w:val="en-CA"/>
        </w:rPr>
        <w:t xml:space="preserve">While the Company believes that its products and operations will not violate the intellectual property rights of third parties, other parties could bring legal actions against the Company claiming damages and seeking </w:t>
      </w:r>
      <w:r w:rsidRPr="002A2392">
        <w:rPr>
          <w:rFonts w:ascii="Arial" w:hAnsi="Arial" w:cs="Arial"/>
          <w:sz w:val="20"/>
          <w:szCs w:val="20"/>
          <w:lang w:val="en-CA"/>
        </w:rPr>
        <w:lastRenderedPageBreak/>
        <w:t xml:space="preserve">to enjoin the marketing and sale of the Company’s products for allegedly conflicting with patents held by them.  Any such litigation could result in substantial cost to the Company and diversion of effort by its management and technical personnel.  If any such actions are successful, in addition to any potential liability for damages, the Company could be required to obtain a license </w:t>
      </w:r>
      <w:proofErr w:type="gramStart"/>
      <w:r w:rsidRPr="002A2392">
        <w:rPr>
          <w:rFonts w:ascii="Arial" w:hAnsi="Arial" w:cs="Arial"/>
          <w:sz w:val="20"/>
          <w:szCs w:val="20"/>
          <w:lang w:val="en-CA"/>
        </w:rPr>
        <w:t>in order to</w:t>
      </w:r>
      <w:proofErr w:type="gramEnd"/>
      <w:r w:rsidRPr="002A2392">
        <w:rPr>
          <w:rFonts w:ascii="Arial" w:hAnsi="Arial" w:cs="Arial"/>
          <w:sz w:val="20"/>
          <w:szCs w:val="20"/>
          <w:lang w:val="en-CA"/>
        </w:rPr>
        <w:t xml:space="preserve"> continue to market the affected products.  There can be no assurance that the Company would prevail in such action or that any license required under any such patent would be available on acceptable terms, if at all.  Failure to obtain needed patents, licenses or proprietary information held by others may have material adverse effect on the Company’s business.  In addition, if the Company w</w:t>
      </w:r>
      <w:r w:rsidR="000B4901">
        <w:rPr>
          <w:rFonts w:ascii="Arial" w:hAnsi="Arial" w:cs="Arial"/>
          <w:sz w:val="20"/>
          <w:szCs w:val="20"/>
          <w:lang w:val="en-CA"/>
        </w:rPr>
        <w:t>as</w:t>
      </w:r>
      <w:r w:rsidRPr="002A2392">
        <w:rPr>
          <w:rFonts w:ascii="Arial" w:hAnsi="Arial" w:cs="Arial"/>
          <w:sz w:val="20"/>
          <w:szCs w:val="20"/>
          <w:lang w:val="en-CA"/>
        </w:rPr>
        <w:t xml:space="preserve"> to become involved in such litigation, it could consume a substantial portion of the Company’s time and resources.</w:t>
      </w:r>
    </w:p>
    <w:p w14:paraId="76CF1F59" w14:textId="77777777" w:rsidR="0075420D" w:rsidRPr="002A2392" w:rsidRDefault="0075420D" w:rsidP="0075420D">
      <w:pPr>
        <w:jc w:val="both"/>
        <w:rPr>
          <w:rFonts w:ascii="Arial" w:hAnsi="Arial" w:cs="Arial"/>
          <w:sz w:val="20"/>
          <w:szCs w:val="20"/>
          <w:lang w:val="en-CA"/>
        </w:rPr>
      </w:pPr>
    </w:p>
    <w:p w14:paraId="02F292F2" w14:textId="77777777" w:rsidR="0075420D" w:rsidRPr="002A2392" w:rsidRDefault="0075420D" w:rsidP="0075420D">
      <w:pPr>
        <w:jc w:val="both"/>
        <w:rPr>
          <w:rFonts w:ascii="Arial" w:hAnsi="Arial" w:cs="Arial"/>
          <w:b/>
          <w:sz w:val="20"/>
          <w:szCs w:val="20"/>
          <w:lang w:val="en-CA"/>
        </w:rPr>
      </w:pPr>
      <w:r w:rsidRPr="002A2392">
        <w:rPr>
          <w:rFonts w:ascii="Arial" w:hAnsi="Arial" w:cs="Arial"/>
          <w:b/>
          <w:sz w:val="20"/>
          <w:szCs w:val="20"/>
          <w:lang w:val="en-CA"/>
        </w:rPr>
        <w:t>Cyber Security Risk</w:t>
      </w:r>
    </w:p>
    <w:p w14:paraId="2EFBF9E6" w14:textId="77777777" w:rsidR="0075420D" w:rsidRPr="002A2392" w:rsidRDefault="0075420D" w:rsidP="0075420D">
      <w:pPr>
        <w:jc w:val="both"/>
        <w:rPr>
          <w:rFonts w:ascii="Arial" w:hAnsi="Arial" w:cs="Arial"/>
          <w:sz w:val="20"/>
          <w:szCs w:val="20"/>
          <w:lang w:val="en-CA"/>
        </w:rPr>
      </w:pPr>
    </w:p>
    <w:p w14:paraId="13AEB7F0" w14:textId="09889EB6" w:rsidR="0075420D" w:rsidRPr="002A2392" w:rsidRDefault="0075420D" w:rsidP="0075420D">
      <w:pPr>
        <w:jc w:val="both"/>
        <w:rPr>
          <w:rFonts w:ascii="Arial" w:hAnsi="Arial" w:cs="Arial"/>
          <w:sz w:val="20"/>
          <w:szCs w:val="20"/>
          <w:lang w:val="en-CA"/>
        </w:rPr>
      </w:pPr>
      <w:r w:rsidRPr="002A2392">
        <w:rPr>
          <w:rFonts w:ascii="Arial" w:hAnsi="Arial" w:cs="Arial"/>
          <w:sz w:val="20"/>
          <w:szCs w:val="20"/>
          <w:lang w:val="en-CA"/>
        </w:rPr>
        <w:t xml:space="preserve">The Company relies on information technology systems and networks in its operations.  The Company could be materially and adversely affected </w:t>
      </w:r>
      <w:r w:rsidR="00090D0A" w:rsidRPr="002A2392">
        <w:rPr>
          <w:rFonts w:ascii="Arial" w:hAnsi="Arial" w:cs="Arial"/>
          <w:sz w:val="20"/>
          <w:szCs w:val="20"/>
          <w:lang w:val="en-CA"/>
        </w:rPr>
        <w:t>if</w:t>
      </w:r>
      <w:r w:rsidRPr="002A2392">
        <w:rPr>
          <w:rFonts w:ascii="Arial" w:hAnsi="Arial" w:cs="Arial"/>
          <w:sz w:val="20"/>
          <w:szCs w:val="20"/>
          <w:lang w:val="en-CA"/>
        </w:rPr>
        <w:t xml:space="preserve"> the information technology systems or networks are compromised by malicious cyber attacks.  This information technology infrastructure may be subject to security breaches or other cybersecurity incidents.  In addition, these systems may be compromised by natural disasters or defects in software or hardware systems.  The consequences of the Company’s information technology systems being compromised potentially include material and adverse impacts on its financial condition, operations, </w:t>
      </w:r>
      <w:proofErr w:type="gramStart"/>
      <w:r w:rsidRPr="002A2392">
        <w:rPr>
          <w:rFonts w:ascii="Arial" w:hAnsi="Arial" w:cs="Arial"/>
          <w:sz w:val="20"/>
          <w:szCs w:val="20"/>
          <w:lang w:val="en-CA"/>
        </w:rPr>
        <w:t>production</w:t>
      </w:r>
      <w:proofErr w:type="gramEnd"/>
      <w:r w:rsidRPr="002A2392">
        <w:rPr>
          <w:rFonts w:ascii="Arial" w:hAnsi="Arial" w:cs="Arial"/>
          <w:sz w:val="20"/>
          <w:szCs w:val="20"/>
          <w:lang w:val="en-CA"/>
        </w:rPr>
        <w:t xml:space="preserve"> or sales, due to disruption of its business activities, and access to, and/or compromising of, proprietary sensitive information, including confidential customer or employee information, litigation and regulatory costs, devaluation of any intellectual property and reputation harm.  While the Company believes it takes appropriate precautions </w:t>
      </w:r>
      <w:r w:rsidR="00ED4289" w:rsidRPr="002A2392">
        <w:rPr>
          <w:rFonts w:ascii="Arial" w:hAnsi="Arial" w:cs="Arial"/>
          <w:sz w:val="20"/>
          <w:szCs w:val="20"/>
          <w:lang w:val="en-CA"/>
        </w:rPr>
        <w:t>considering</w:t>
      </w:r>
      <w:r w:rsidRPr="002A2392">
        <w:rPr>
          <w:rFonts w:ascii="Arial" w:hAnsi="Arial" w:cs="Arial"/>
          <w:sz w:val="20"/>
          <w:szCs w:val="20"/>
          <w:lang w:val="en-CA"/>
        </w:rPr>
        <w:t xml:space="preserve"> cyber security risks, there can be no assurance that it may not be subject to cyber security risks or attack, which could have a material adverse effect on business or results of operations.</w:t>
      </w:r>
    </w:p>
    <w:p w14:paraId="30D33254" w14:textId="77777777" w:rsidR="0075420D" w:rsidRPr="002A2392" w:rsidRDefault="0075420D" w:rsidP="0075420D">
      <w:pPr>
        <w:jc w:val="both"/>
        <w:rPr>
          <w:rFonts w:ascii="Arial" w:hAnsi="Arial" w:cs="Arial"/>
          <w:b/>
          <w:sz w:val="20"/>
          <w:szCs w:val="20"/>
          <w:lang w:val="en-CA"/>
        </w:rPr>
      </w:pPr>
    </w:p>
    <w:p w14:paraId="313E8693" w14:textId="77777777" w:rsidR="0075420D" w:rsidRPr="002A2392" w:rsidRDefault="0075420D" w:rsidP="003B10C0">
      <w:pPr>
        <w:rPr>
          <w:rFonts w:ascii="Arial" w:hAnsi="Arial" w:cs="Arial"/>
          <w:b/>
          <w:sz w:val="20"/>
          <w:szCs w:val="20"/>
          <w:lang w:val="en-CA"/>
        </w:rPr>
      </w:pPr>
      <w:r w:rsidRPr="002A2392">
        <w:rPr>
          <w:rFonts w:ascii="Arial" w:hAnsi="Arial" w:cs="Arial"/>
          <w:b/>
          <w:sz w:val="20"/>
          <w:szCs w:val="20"/>
          <w:lang w:val="en-CA"/>
        </w:rPr>
        <w:t>Obsolescence</w:t>
      </w:r>
    </w:p>
    <w:p w14:paraId="46BD88DF" w14:textId="77777777" w:rsidR="0075420D" w:rsidRPr="002A2392" w:rsidRDefault="0075420D" w:rsidP="0075420D">
      <w:pPr>
        <w:jc w:val="both"/>
        <w:rPr>
          <w:rFonts w:ascii="Arial" w:hAnsi="Arial" w:cs="Arial"/>
          <w:sz w:val="20"/>
          <w:szCs w:val="20"/>
          <w:lang w:val="en-CA"/>
        </w:rPr>
      </w:pPr>
    </w:p>
    <w:p w14:paraId="7038BA2F" w14:textId="77777777" w:rsidR="0075420D" w:rsidRPr="002A2392" w:rsidRDefault="0075420D" w:rsidP="0075420D">
      <w:pPr>
        <w:jc w:val="both"/>
        <w:rPr>
          <w:rFonts w:ascii="Arial" w:hAnsi="Arial" w:cs="Arial"/>
          <w:sz w:val="20"/>
          <w:szCs w:val="20"/>
          <w:lang w:val="en-CA"/>
        </w:rPr>
      </w:pPr>
      <w:r w:rsidRPr="002A2392">
        <w:rPr>
          <w:rFonts w:ascii="Arial" w:hAnsi="Arial" w:cs="Arial"/>
          <w:sz w:val="20"/>
          <w:szCs w:val="20"/>
          <w:lang w:val="en-CA"/>
        </w:rPr>
        <w:t>Maintaining a competitive position requires constant growth, development and strategic marketing and planning. If the Company is unable to maintain a technological advantage, the Company’s ability to grow its business will be adversely affected and its products may become obsolete compared with other technologies.</w:t>
      </w:r>
    </w:p>
    <w:p w14:paraId="4B4BA1D9" w14:textId="77777777" w:rsidR="0075420D" w:rsidRPr="002A2392" w:rsidRDefault="0075420D" w:rsidP="0075420D">
      <w:pPr>
        <w:jc w:val="both"/>
        <w:rPr>
          <w:rFonts w:ascii="Arial" w:hAnsi="Arial" w:cs="Arial"/>
          <w:b/>
          <w:sz w:val="20"/>
          <w:szCs w:val="20"/>
          <w:lang w:val="en-CA"/>
        </w:rPr>
      </w:pPr>
    </w:p>
    <w:p w14:paraId="69190157" w14:textId="1A563023" w:rsidR="0075420D" w:rsidRPr="002A2392" w:rsidRDefault="001D66C6" w:rsidP="0075420D">
      <w:pPr>
        <w:jc w:val="both"/>
        <w:rPr>
          <w:rFonts w:ascii="Arial" w:hAnsi="Arial" w:cs="Arial"/>
          <w:b/>
          <w:sz w:val="20"/>
          <w:szCs w:val="20"/>
          <w:lang w:val="en-CA"/>
        </w:rPr>
      </w:pPr>
      <w:r w:rsidRPr="002A2392">
        <w:rPr>
          <w:rFonts w:ascii="Arial" w:hAnsi="Arial" w:cs="Arial"/>
          <w:b/>
          <w:sz w:val="20"/>
          <w:szCs w:val="20"/>
          <w:lang w:val="en-CA"/>
        </w:rPr>
        <w:t>R</w:t>
      </w:r>
      <w:r w:rsidR="0075420D" w:rsidRPr="002A2392">
        <w:rPr>
          <w:rFonts w:ascii="Arial" w:hAnsi="Arial" w:cs="Arial"/>
          <w:b/>
          <w:sz w:val="20"/>
          <w:szCs w:val="20"/>
          <w:lang w:val="en-CA"/>
        </w:rPr>
        <w:t>esults of Operations and Financing Risks</w:t>
      </w:r>
    </w:p>
    <w:p w14:paraId="7F556754" w14:textId="77777777" w:rsidR="0075420D" w:rsidRPr="002A2392" w:rsidRDefault="0075420D" w:rsidP="0075420D">
      <w:pPr>
        <w:jc w:val="both"/>
        <w:rPr>
          <w:rFonts w:ascii="Arial" w:hAnsi="Arial" w:cs="Arial"/>
          <w:sz w:val="20"/>
          <w:szCs w:val="20"/>
          <w:lang w:val="en-CA"/>
        </w:rPr>
      </w:pPr>
    </w:p>
    <w:p w14:paraId="0A6A03F8" w14:textId="77777777" w:rsidR="0075420D" w:rsidRPr="002A2392" w:rsidRDefault="0075420D" w:rsidP="0075420D">
      <w:pPr>
        <w:jc w:val="both"/>
        <w:rPr>
          <w:rFonts w:ascii="Arial" w:hAnsi="Arial" w:cs="Arial"/>
          <w:sz w:val="20"/>
          <w:szCs w:val="20"/>
          <w:lang w:val="en-CA"/>
        </w:rPr>
      </w:pPr>
      <w:r w:rsidRPr="002A2392">
        <w:rPr>
          <w:rFonts w:ascii="Arial" w:hAnsi="Arial" w:cs="Arial"/>
          <w:sz w:val="20"/>
          <w:szCs w:val="20"/>
          <w:lang w:val="en-CA"/>
        </w:rPr>
        <w:t>Management believes, based on its expectations as to the future performance of the Company, that the cash flow from its operations and funds available to it will be adequate to enable the Company to finance its operations, execute its business strategy and maintain an adequate level of liquidity.  However, expected revenue and the costs of planned capital expenditures are only estimates.  Actual cash flows from operations are dependent on regulatory, market and other conditions that will be beyond the control of the Company.  As such, no assurance can be given that management’s expectations as to future performance will be realized.  In addition, management’s expectations as to the future performance of the Company reflect the current state of its information about recently acquired assets or entities, assets or entities currently considered for acquisition, the operations related thereto and integration efforts, and there can be no assurance that such information is correct or complete in all material respects.</w:t>
      </w:r>
      <w:bookmarkStart w:id="27" w:name="_Toc257722055"/>
      <w:bookmarkStart w:id="28" w:name="_Toc257721847"/>
      <w:bookmarkStart w:id="29" w:name="_Toc257721491"/>
    </w:p>
    <w:bookmarkEnd w:id="27"/>
    <w:bookmarkEnd w:id="28"/>
    <w:bookmarkEnd w:id="29"/>
    <w:p w14:paraId="2026FDB7" w14:textId="77777777" w:rsidR="0075420D" w:rsidRPr="002A2392" w:rsidRDefault="0075420D" w:rsidP="0075420D">
      <w:pPr>
        <w:jc w:val="both"/>
        <w:rPr>
          <w:rFonts w:ascii="Arial" w:hAnsi="Arial" w:cs="Arial"/>
          <w:sz w:val="20"/>
          <w:szCs w:val="20"/>
          <w:lang w:val="en-CA"/>
        </w:rPr>
      </w:pPr>
    </w:p>
    <w:p w14:paraId="12E006F0" w14:textId="1C58AC78" w:rsidR="0075420D" w:rsidRPr="002A2392" w:rsidRDefault="0075420D" w:rsidP="00695141">
      <w:pPr>
        <w:rPr>
          <w:rFonts w:ascii="Arial" w:hAnsi="Arial" w:cs="Arial"/>
          <w:b/>
          <w:sz w:val="20"/>
          <w:szCs w:val="20"/>
          <w:lang w:val="en-CA"/>
        </w:rPr>
      </w:pPr>
      <w:r w:rsidRPr="002A2392">
        <w:rPr>
          <w:rFonts w:ascii="Arial" w:hAnsi="Arial" w:cs="Arial"/>
          <w:b/>
          <w:sz w:val="20"/>
          <w:szCs w:val="20"/>
          <w:lang w:val="en-CA"/>
        </w:rPr>
        <w:t>Additional Requirements for Capital</w:t>
      </w:r>
    </w:p>
    <w:p w14:paraId="3776D42B" w14:textId="77777777" w:rsidR="0075420D" w:rsidRPr="002A2392" w:rsidRDefault="0075420D" w:rsidP="0075420D">
      <w:pPr>
        <w:jc w:val="both"/>
        <w:rPr>
          <w:rFonts w:ascii="Arial" w:hAnsi="Arial" w:cs="Arial"/>
          <w:sz w:val="20"/>
          <w:szCs w:val="20"/>
          <w:lang w:val="en-CA"/>
        </w:rPr>
      </w:pPr>
    </w:p>
    <w:p w14:paraId="64B64B30" w14:textId="77777777" w:rsidR="0075420D" w:rsidRPr="002A2392" w:rsidRDefault="0075420D" w:rsidP="0075420D">
      <w:pPr>
        <w:jc w:val="both"/>
        <w:rPr>
          <w:rFonts w:ascii="Arial" w:hAnsi="Arial" w:cs="Arial"/>
          <w:sz w:val="20"/>
          <w:szCs w:val="20"/>
          <w:lang w:val="en-CA"/>
        </w:rPr>
      </w:pPr>
      <w:r w:rsidRPr="002A2392">
        <w:rPr>
          <w:rFonts w:ascii="Arial" w:hAnsi="Arial" w:cs="Arial"/>
          <w:sz w:val="20"/>
          <w:szCs w:val="20"/>
          <w:lang w:val="en-CA"/>
        </w:rPr>
        <w:t xml:space="preserve">Substantial additional financing may be required if the Company is to be successful with the Company’s acquisition strategy and the overall development of its business.   The Company does not currently know whether it will be able to secure additional funding or funding on terms acceptable to the Company. The Company’s ability to obtain additional funding will be subject to </w:t>
      </w:r>
      <w:r w:rsidR="00ED4289" w:rsidRPr="002A2392">
        <w:rPr>
          <w:rFonts w:ascii="Arial" w:hAnsi="Arial" w:cs="Arial"/>
          <w:sz w:val="20"/>
          <w:szCs w:val="20"/>
          <w:lang w:val="en-CA"/>
        </w:rPr>
        <w:t>several</w:t>
      </w:r>
      <w:r w:rsidRPr="002A2392">
        <w:rPr>
          <w:rFonts w:ascii="Arial" w:hAnsi="Arial" w:cs="Arial"/>
          <w:sz w:val="20"/>
          <w:szCs w:val="20"/>
          <w:lang w:val="en-CA"/>
        </w:rPr>
        <w:t xml:space="preserve"> factors, including market conditions, investor sentiment and the Company’s operating performance.  These factors may take the timing, amount, </w:t>
      </w:r>
      <w:proofErr w:type="gramStart"/>
      <w:r w:rsidRPr="002A2392">
        <w:rPr>
          <w:rFonts w:ascii="Arial" w:hAnsi="Arial" w:cs="Arial"/>
          <w:sz w:val="20"/>
          <w:szCs w:val="20"/>
          <w:lang w:val="en-CA"/>
        </w:rPr>
        <w:t>terms</w:t>
      </w:r>
      <w:proofErr w:type="gramEnd"/>
      <w:r w:rsidRPr="002A2392">
        <w:rPr>
          <w:rFonts w:ascii="Arial" w:hAnsi="Arial" w:cs="Arial"/>
          <w:sz w:val="20"/>
          <w:szCs w:val="20"/>
          <w:lang w:val="en-CA"/>
        </w:rPr>
        <w:t xml:space="preserve"> and conditions of additional funding unattractive to the Company.  If the Company is unable to raise additional funds on terms acceptable to the Company’s management when needed, the Company’s ability to execute its acquisition strategy could be impaired, which could lead to a material adverse impact on its business.  If the Company is unable to obtain additional financing as needed, it may be required to reduce the scope of its operations or anticipated expansion or may not be able to further develop its business at all. </w:t>
      </w:r>
    </w:p>
    <w:p w14:paraId="406F5AE9" w14:textId="77777777" w:rsidR="0075420D" w:rsidRPr="002A2392" w:rsidRDefault="0075420D" w:rsidP="0075420D">
      <w:pPr>
        <w:jc w:val="both"/>
        <w:rPr>
          <w:rFonts w:ascii="Arial" w:hAnsi="Arial" w:cs="Arial"/>
          <w:sz w:val="20"/>
          <w:szCs w:val="20"/>
          <w:lang w:val="en-CA"/>
        </w:rPr>
      </w:pPr>
    </w:p>
    <w:p w14:paraId="0AFF7AC2" w14:textId="77777777" w:rsidR="0075420D" w:rsidRPr="002A2392" w:rsidRDefault="0075420D" w:rsidP="0075420D">
      <w:pPr>
        <w:jc w:val="both"/>
        <w:rPr>
          <w:rFonts w:ascii="Arial" w:hAnsi="Arial" w:cs="Arial"/>
          <w:sz w:val="20"/>
          <w:szCs w:val="20"/>
          <w:lang w:val="en-CA"/>
        </w:rPr>
      </w:pPr>
      <w:r w:rsidRPr="002A2392">
        <w:rPr>
          <w:rFonts w:ascii="Arial" w:hAnsi="Arial" w:cs="Arial"/>
          <w:sz w:val="20"/>
          <w:szCs w:val="20"/>
          <w:lang w:val="en-CA"/>
        </w:rPr>
        <w:t xml:space="preserve">If the Company </w:t>
      </w:r>
      <w:r w:rsidR="00ED4289" w:rsidRPr="002A2392">
        <w:rPr>
          <w:rFonts w:ascii="Arial" w:hAnsi="Arial" w:cs="Arial"/>
          <w:sz w:val="20"/>
          <w:szCs w:val="20"/>
          <w:lang w:val="en-CA"/>
        </w:rPr>
        <w:t>can</w:t>
      </w:r>
      <w:r w:rsidRPr="002A2392">
        <w:rPr>
          <w:rFonts w:ascii="Arial" w:hAnsi="Arial" w:cs="Arial"/>
          <w:sz w:val="20"/>
          <w:szCs w:val="20"/>
          <w:lang w:val="en-CA"/>
        </w:rPr>
        <w:t xml:space="preserve"> obtain additional funds by way of an equity financing, the Company’s existing shareholders may experience dilution.  Any additional debt financing, if available, may involve restrictions on the Company’s financing and operating activities.  </w:t>
      </w:r>
    </w:p>
    <w:p w14:paraId="06151D5A" w14:textId="77777777" w:rsidR="0075420D" w:rsidRPr="002A2392" w:rsidRDefault="0075420D" w:rsidP="0075420D">
      <w:pPr>
        <w:jc w:val="both"/>
        <w:rPr>
          <w:rFonts w:ascii="Arial" w:hAnsi="Arial" w:cs="Arial"/>
          <w:sz w:val="20"/>
          <w:szCs w:val="20"/>
          <w:lang w:val="en-CA"/>
        </w:rPr>
      </w:pPr>
    </w:p>
    <w:p w14:paraId="7313B400" w14:textId="77777777" w:rsidR="0075420D" w:rsidRPr="002A2392" w:rsidRDefault="0075420D" w:rsidP="0075420D">
      <w:pPr>
        <w:jc w:val="both"/>
        <w:rPr>
          <w:rFonts w:ascii="Arial" w:hAnsi="Arial" w:cs="Arial"/>
          <w:b/>
          <w:sz w:val="20"/>
          <w:szCs w:val="20"/>
          <w:lang w:val="en-CA"/>
        </w:rPr>
      </w:pPr>
      <w:r w:rsidRPr="002A2392">
        <w:rPr>
          <w:rFonts w:ascii="Arial" w:hAnsi="Arial" w:cs="Arial"/>
          <w:b/>
          <w:sz w:val="20"/>
          <w:szCs w:val="20"/>
          <w:lang w:val="en-CA"/>
        </w:rPr>
        <w:t>Liquidity and Future Financing Risk</w:t>
      </w:r>
    </w:p>
    <w:p w14:paraId="55ED4794" w14:textId="77777777" w:rsidR="0075420D" w:rsidRPr="002A2392" w:rsidRDefault="0075420D" w:rsidP="0075420D">
      <w:pPr>
        <w:jc w:val="both"/>
        <w:rPr>
          <w:rFonts w:ascii="Arial" w:hAnsi="Arial" w:cs="Arial"/>
          <w:sz w:val="20"/>
          <w:szCs w:val="20"/>
          <w:lang w:val="en-CA"/>
        </w:rPr>
      </w:pPr>
    </w:p>
    <w:p w14:paraId="0ADFE20B" w14:textId="64997016" w:rsidR="0075420D" w:rsidRPr="002A2392" w:rsidRDefault="00667B4D" w:rsidP="0075420D">
      <w:pPr>
        <w:jc w:val="both"/>
        <w:rPr>
          <w:rFonts w:ascii="Arial" w:hAnsi="Arial" w:cs="Arial"/>
          <w:sz w:val="20"/>
          <w:szCs w:val="20"/>
          <w:lang w:val="en-CA"/>
        </w:rPr>
      </w:pPr>
      <w:r w:rsidRPr="002A2392">
        <w:rPr>
          <w:rFonts w:ascii="Arial" w:hAnsi="Arial" w:cs="Arial"/>
          <w:sz w:val="20"/>
          <w:szCs w:val="20"/>
          <w:lang w:val="en-CA"/>
        </w:rPr>
        <w:t>T</w:t>
      </w:r>
      <w:r w:rsidR="0075420D" w:rsidRPr="002A2392">
        <w:rPr>
          <w:rFonts w:ascii="Arial" w:hAnsi="Arial" w:cs="Arial"/>
          <w:sz w:val="20"/>
          <w:szCs w:val="20"/>
          <w:lang w:val="en-CA"/>
        </w:rPr>
        <w:t xml:space="preserve">he Company does not currently have cash reserves for funding future growth and expansion and therefore may require additional financing </w:t>
      </w:r>
      <w:proofErr w:type="gramStart"/>
      <w:r w:rsidR="0075420D" w:rsidRPr="002A2392">
        <w:rPr>
          <w:rFonts w:ascii="Arial" w:hAnsi="Arial" w:cs="Arial"/>
          <w:sz w:val="20"/>
          <w:szCs w:val="20"/>
          <w:lang w:val="en-CA"/>
        </w:rPr>
        <w:t>in order to</w:t>
      </w:r>
      <w:proofErr w:type="gramEnd"/>
      <w:r w:rsidR="0075420D" w:rsidRPr="002A2392">
        <w:rPr>
          <w:rFonts w:ascii="Arial" w:hAnsi="Arial" w:cs="Arial"/>
          <w:sz w:val="20"/>
          <w:szCs w:val="20"/>
          <w:lang w:val="en-CA"/>
        </w:rPr>
        <w:t xml:space="preserve"> fund future growth in operations and expansion plans. The Company's ability to secure any required financing to sustain its operations will depend in part upon prevailing capital market conditions, as well as the Company's business success. There can be no assurance that the Company will be successful in its efforts to secure any additional financing or additional financing on terms satisfactory to the Company's management. If additional financing is raised by issuing Common Shares, control may change, and shareholders may suffer additional dilution. If adequate funds are not available, or are not available on acceptable terms, the Company may be required to scale back its business plan.</w:t>
      </w:r>
    </w:p>
    <w:p w14:paraId="49EF7B57" w14:textId="77777777" w:rsidR="0075420D" w:rsidRPr="002A2392" w:rsidRDefault="0075420D" w:rsidP="0075420D">
      <w:pPr>
        <w:jc w:val="both"/>
        <w:rPr>
          <w:rFonts w:ascii="Arial" w:hAnsi="Arial" w:cs="Arial"/>
          <w:b/>
          <w:sz w:val="20"/>
          <w:szCs w:val="20"/>
          <w:lang w:val="en-CA"/>
        </w:rPr>
      </w:pPr>
    </w:p>
    <w:p w14:paraId="035B8D0E" w14:textId="77777777" w:rsidR="0075420D" w:rsidRPr="002A2392" w:rsidRDefault="0075420D" w:rsidP="0075420D">
      <w:pPr>
        <w:jc w:val="both"/>
        <w:rPr>
          <w:rFonts w:ascii="Arial" w:hAnsi="Arial" w:cs="Arial"/>
          <w:b/>
          <w:sz w:val="20"/>
          <w:szCs w:val="20"/>
          <w:lang w:val="en-CA"/>
        </w:rPr>
      </w:pPr>
      <w:r w:rsidRPr="002A2392">
        <w:rPr>
          <w:rFonts w:ascii="Arial" w:hAnsi="Arial" w:cs="Arial"/>
          <w:b/>
          <w:sz w:val="20"/>
          <w:szCs w:val="20"/>
          <w:lang w:val="en-CA"/>
        </w:rPr>
        <w:t>Changes in Law, Regulations and Guidelines</w:t>
      </w:r>
    </w:p>
    <w:p w14:paraId="6A3EFA65" w14:textId="77777777" w:rsidR="0075420D" w:rsidRPr="002A2392" w:rsidRDefault="0075420D" w:rsidP="0075420D">
      <w:pPr>
        <w:jc w:val="both"/>
        <w:rPr>
          <w:rFonts w:ascii="Arial" w:hAnsi="Arial" w:cs="Arial"/>
          <w:sz w:val="20"/>
          <w:szCs w:val="20"/>
          <w:lang w:val="en-CA"/>
        </w:rPr>
      </w:pPr>
    </w:p>
    <w:p w14:paraId="0D18EA42" w14:textId="77777777" w:rsidR="0075420D" w:rsidRPr="002A2392" w:rsidRDefault="0075420D" w:rsidP="0075420D">
      <w:pPr>
        <w:jc w:val="both"/>
        <w:rPr>
          <w:rFonts w:ascii="Arial" w:hAnsi="Arial" w:cs="Arial"/>
          <w:sz w:val="20"/>
          <w:szCs w:val="20"/>
          <w:lang w:val="en-CA"/>
        </w:rPr>
      </w:pPr>
      <w:r w:rsidRPr="002A2392">
        <w:rPr>
          <w:rFonts w:ascii="Arial" w:hAnsi="Arial" w:cs="Arial"/>
          <w:sz w:val="20"/>
          <w:szCs w:val="20"/>
          <w:lang w:val="en-CA"/>
        </w:rPr>
        <w:t xml:space="preserve">The Company’s business will be subject to </w:t>
      </w:r>
      <w:r w:rsidR="00ED4289" w:rsidRPr="002A2392">
        <w:rPr>
          <w:rFonts w:ascii="Arial" w:hAnsi="Arial" w:cs="Arial"/>
          <w:sz w:val="20"/>
          <w:szCs w:val="20"/>
          <w:lang w:val="en-CA"/>
        </w:rPr>
        <w:t>laws</w:t>
      </w:r>
      <w:r w:rsidRPr="002A2392">
        <w:rPr>
          <w:rFonts w:ascii="Arial" w:hAnsi="Arial" w:cs="Arial"/>
          <w:sz w:val="20"/>
          <w:szCs w:val="20"/>
          <w:lang w:val="en-CA"/>
        </w:rPr>
        <w:t xml:space="preserve">, regulations, and guidelines. Although the Company intends to comply with all laws and regulations, there is no guarantee that the governing laws and regulations will not change which will be outside of the Company’s control.  </w:t>
      </w:r>
    </w:p>
    <w:p w14:paraId="0FDF993B" w14:textId="77777777" w:rsidR="0075420D" w:rsidRPr="002A2392" w:rsidRDefault="0075420D" w:rsidP="0075420D">
      <w:pPr>
        <w:jc w:val="both"/>
        <w:rPr>
          <w:rFonts w:ascii="Arial" w:hAnsi="Arial" w:cs="Arial"/>
          <w:sz w:val="20"/>
          <w:szCs w:val="20"/>
          <w:lang w:val="en-CA"/>
        </w:rPr>
      </w:pPr>
    </w:p>
    <w:p w14:paraId="10062934" w14:textId="77777777" w:rsidR="0075420D" w:rsidRPr="002A2392" w:rsidRDefault="0075420D" w:rsidP="0075420D">
      <w:pPr>
        <w:jc w:val="both"/>
        <w:rPr>
          <w:rFonts w:ascii="Arial" w:hAnsi="Arial" w:cs="Arial"/>
          <w:b/>
          <w:sz w:val="20"/>
          <w:szCs w:val="20"/>
          <w:lang w:val="en-CA"/>
        </w:rPr>
      </w:pPr>
      <w:r w:rsidRPr="002A2392">
        <w:rPr>
          <w:rFonts w:ascii="Arial" w:hAnsi="Arial" w:cs="Arial"/>
          <w:b/>
          <w:sz w:val="20"/>
          <w:szCs w:val="20"/>
          <w:lang w:val="en-CA"/>
        </w:rPr>
        <w:t>Key Personnel Risk</w:t>
      </w:r>
    </w:p>
    <w:p w14:paraId="57676F47" w14:textId="77777777" w:rsidR="0075420D" w:rsidRPr="002A2392" w:rsidRDefault="0075420D" w:rsidP="0075420D">
      <w:pPr>
        <w:jc w:val="both"/>
        <w:rPr>
          <w:rFonts w:ascii="Arial" w:hAnsi="Arial" w:cs="Arial"/>
          <w:sz w:val="20"/>
          <w:szCs w:val="20"/>
          <w:lang w:val="en-CA"/>
        </w:rPr>
      </w:pPr>
    </w:p>
    <w:p w14:paraId="3624EA42" w14:textId="77777777" w:rsidR="0075420D" w:rsidRPr="002A2392" w:rsidRDefault="0075420D" w:rsidP="0075420D">
      <w:pPr>
        <w:jc w:val="both"/>
        <w:rPr>
          <w:rFonts w:ascii="Arial" w:hAnsi="Arial" w:cs="Arial"/>
          <w:sz w:val="20"/>
          <w:szCs w:val="20"/>
          <w:lang w:val="en-CA"/>
        </w:rPr>
      </w:pPr>
      <w:r w:rsidRPr="002A2392">
        <w:rPr>
          <w:rFonts w:ascii="Arial" w:hAnsi="Arial" w:cs="Arial"/>
          <w:sz w:val="20"/>
          <w:szCs w:val="20"/>
          <w:lang w:val="en-CA"/>
        </w:rPr>
        <w:t xml:space="preserve">The Company's success will depend on its directors' and officers' ability to develop the Company's business and manage its operations, and on the Company's ability to attract and retain the Chief Executive Officer and other key technical, sales, public relations and marketing staff or consultants to ramp up its business activities. The loss of any key person or the inability to find and retain new key persons could have a material adverse effect on the Company's business. Competition for qualified technical, design, </w:t>
      </w:r>
      <w:proofErr w:type="gramStart"/>
      <w:r w:rsidRPr="002A2392">
        <w:rPr>
          <w:rFonts w:ascii="Arial" w:hAnsi="Arial" w:cs="Arial"/>
          <w:sz w:val="20"/>
          <w:szCs w:val="20"/>
          <w:lang w:val="en-CA"/>
        </w:rPr>
        <w:t>sales</w:t>
      </w:r>
      <w:proofErr w:type="gramEnd"/>
      <w:r w:rsidRPr="002A2392">
        <w:rPr>
          <w:rFonts w:ascii="Arial" w:hAnsi="Arial" w:cs="Arial"/>
          <w:sz w:val="20"/>
          <w:szCs w:val="20"/>
          <w:lang w:val="en-CA"/>
        </w:rPr>
        <w:t xml:space="preserve"> and marketing staff, as well as officers and directors can be intense and no assurance can be provided that the Company will be able to attract or retain key personnel in the future, which may adversely impact the Company's operations.</w:t>
      </w:r>
    </w:p>
    <w:p w14:paraId="40E20106" w14:textId="77777777" w:rsidR="00D64C26" w:rsidRPr="002A2392" w:rsidRDefault="00D64C26" w:rsidP="0075420D">
      <w:pPr>
        <w:jc w:val="both"/>
        <w:rPr>
          <w:rFonts w:ascii="Arial" w:hAnsi="Arial" w:cs="Arial"/>
          <w:b/>
          <w:sz w:val="20"/>
          <w:szCs w:val="20"/>
          <w:lang w:val="en-CA"/>
        </w:rPr>
      </w:pPr>
      <w:bookmarkStart w:id="30" w:name="_Toc421028353"/>
    </w:p>
    <w:bookmarkEnd w:id="30"/>
    <w:p w14:paraId="3DA7A92A" w14:textId="77777777" w:rsidR="0075420D" w:rsidRPr="002A2392" w:rsidRDefault="0075420D" w:rsidP="0075420D">
      <w:pPr>
        <w:jc w:val="both"/>
        <w:rPr>
          <w:rFonts w:ascii="Arial" w:hAnsi="Arial" w:cs="Arial"/>
          <w:b/>
          <w:sz w:val="20"/>
          <w:szCs w:val="20"/>
          <w:lang w:val="en-CA"/>
        </w:rPr>
      </w:pPr>
      <w:r w:rsidRPr="002A2392">
        <w:rPr>
          <w:rFonts w:ascii="Arial" w:hAnsi="Arial" w:cs="Arial"/>
          <w:b/>
          <w:sz w:val="20"/>
          <w:szCs w:val="20"/>
          <w:lang w:val="en-CA"/>
        </w:rPr>
        <w:t>Conflicts of Interest Risk</w:t>
      </w:r>
    </w:p>
    <w:p w14:paraId="64118E5E" w14:textId="77777777" w:rsidR="0075420D" w:rsidRPr="002A2392" w:rsidRDefault="0075420D" w:rsidP="0075420D">
      <w:pPr>
        <w:jc w:val="both"/>
        <w:rPr>
          <w:rFonts w:ascii="Arial" w:hAnsi="Arial" w:cs="Arial"/>
          <w:sz w:val="20"/>
          <w:szCs w:val="20"/>
          <w:lang w:val="en-CA"/>
        </w:rPr>
      </w:pPr>
    </w:p>
    <w:p w14:paraId="108F8B63" w14:textId="77777777" w:rsidR="0075420D" w:rsidRPr="002A2392" w:rsidRDefault="0075420D" w:rsidP="0075420D">
      <w:pPr>
        <w:jc w:val="both"/>
        <w:rPr>
          <w:rFonts w:ascii="Arial" w:hAnsi="Arial" w:cs="Arial"/>
          <w:sz w:val="20"/>
          <w:szCs w:val="20"/>
          <w:lang w:val="en-CA"/>
        </w:rPr>
      </w:pPr>
      <w:r w:rsidRPr="002A2392">
        <w:rPr>
          <w:rFonts w:ascii="Arial" w:hAnsi="Arial" w:cs="Arial"/>
          <w:sz w:val="20"/>
          <w:szCs w:val="20"/>
          <w:lang w:val="en-CA"/>
        </w:rPr>
        <w:t xml:space="preserve">Certain of the Company's directors and officers are also involved as advisors for other companies. Situations may arise in connection with potential acquisitions or opportunities where the other interests of these directors and </w:t>
      </w:r>
      <w:r w:rsidR="00ED4289" w:rsidRPr="002A2392">
        <w:rPr>
          <w:rFonts w:ascii="Arial" w:hAnsi="Arial" w:cs="Arial"/>
          <w:sz w:val="20"/>
          <w:szCs w:val="20"/>
          <w:lang w:val="en-CA"/>
        </w:rPr>
        <w:t>officers’</w:t>
      </w:r>
      <w:r w:rsidRPr="002A2392">
        <w:rPr>
          <w:rFonts w:ascii="Arial" w:hAnsi="Arial" w:cs="Arial"/>
          <w:sz w:val="20"/>
          <w:szCs w:val="20"/>
          <w:lang w:val="en-CA"/>
        </w:rPr>
        <w:t xml:space="preserve"> conflict with or diverge from the Company's interests. In accordance with the BCBCA, directors who have a material interest in any person who is a party to a material </w:t>
      </w:r>
      <w:r w:rsidR="00ED4289" w:rsidRPr="002A2392">
        <w:rPr>
          <w:rFonts w:ascii="Arial" w:hAnsi="Arial" w:cs="Arial"/>
          <w:sz w:val="20"/>
          <w:szCs w:val="20"/>
          <w:lang w:val="en-CA"/>
        </w:rPr>
        <w:t>contract,</w:t>
      </w:r>
      <w:r w:rsidRPr="002A2392">
        <w:rPr>
          <w:rFonts w:ascii="Arial" w:hAnsi="Arial" w:cs="Arial"/>
          <w:sz w:val="20"/>
          <w:szCs w:val="20"/>
          <w:lang w:val="en-CA"/>
        </w:rPr>
        <w:t xml:space="preserve"> or a proposed material contract are required, subject to certain exceptions, to disclose that interest and generally abstain from voting on any resolution to approve the contract.</w:t>
      </w:r>
    </w:p>
    <w:p w14:paraId="6DE30345" w14:textId="77777777" w:rsidR="0075420D" w:rsidRPr="002A2392" w:rsidRDefault="0075420D" w:rsidP="0075420D">
      <w:pPr>
        <w:jc w:val="both"/>
        <w:rPr>
          <w:rFonts w:ascii="Arial" w:hAnsi="Arial" w:cs="Arial"/>
          <w:sz w:val="20"/>
          <w:szCs w:val="20"/>
          <w:lang w:val="en-CA"/>
        </w:rPr>
      </w:pPr>
    </w:p>
    <w:p w14:paraId="3B165AB2" w14:textId="1D67F8FB" w:rsidR="00DB6199" w:rsidRPr="00AC6D22" w:rsidRDefault="0075420D" w:rsidP="0075420D">
      <w:pPr>
        <w:jc w:val="both"/>
        <w:rPr>
          <w:rFonts w:ascii="Arial" w:hAnsi="Arial" w:cs="Arial"/>
          <w:sz w:val="20"/>
          <w:szCs w:val="20"/>
          <w:lang w:val="en-CA"/>
        </w:rPr>
      </w:pPr>
      <w:r w:rsidRPr="002A2392">
        <w:rPr>
          <w:rFonts w:ascii="Arial" w:hAnsi="Arial" w:cs="Arial"/>
          <w:sz w:val="20"/>
          <w:szCs w:val="20"/>
          <w:lang w:val="en-CA"/>
        </w:rPr>
        <w:t xml:space="preserve">In addition, the directors and the officers are required to act honestly and in good faith with a view to the best interests of the Company. However, in </w:t>
      </w:r>
      <w:proofErr w:type="gramStart"/>
      <w:r w:rsidRPr="002A2392">
        <w:rPr>
          <w:rFonts w:ascii="Arial" w:hAnsi="Arial" w:cs="Arial"/>
          <w:sz w:val="20"/>
          <w:szCs w:val="20"/>
          <w:lang w:val="en-CA"/>
        </w:rPr>
        <w:t>conflict of interest</w:t>
      </w:r>
      <w:proofErr w:type="gramEnd"/>
      <w:r w:rsidRPr="002A2392">
        <w:rPr>
          <w:rFonts w:ascii="Arial" w:hAnsi="Arial" w:cs="Arial"/>
          <w:sz w:val="20"/>
          <w:szCs w:val="20"/>
          <w:lang w:val="en-CA"/>
        </w:rPr>
        <w:t xml:space="preserve"> situations, the Company's directors and officers may owe the same duty to another company and will need to balance their competing interests with their duties to the Company. Circumstances (including with respect to future corporate opportunities) may arise that may be resolved in a manner that is unfavourable to the Company.</w:t>
      </w:r>
    </w:p>
    <w:p w14:paraId="62195621" w14:textId="77777777" w:rsidR="00DB6199" w:rsidRDefault="00DB6199" w:rsidP="0075420D">
      <w:pPr>
        <w:jc w:val="both"/>
        <w:rPr>
          <w:rFonts w:ascii="Arial" w:hAnsi="Arial" w:cs="Arial"/>
          <w:b/>
          <w:bCs/>
          <w:sz w:val="20"/>
          <w:szCs w:val="20"/>
          <w:lang w:val="en-CA"/>
        </w:rPr>
      </w:pPr>
    </w:p>
    <w:p w14:paraId="37C8EFB0" w14:textId="63A23D5F" w:rsidR="0075420D" w:rsidRPr="002A2392" w:rsidRDefault="0075420D" w:rsidP="0075420D">
      <w:pPr>
        <w:jc w:val="both"/>
        <w:rPr>
          <w:rFonts w:ascii="Arial" w:hAnsi="Arial" w:cs="Arial"/>
          <w:b/>
          <w:bCs/>
          <w:sz w:val="20"/>
          <w:szCs w:val="20"/>
          <w:lang w:val="en-CA"/>
        </w:rPr>
      </w:pPr>
      <w:r w:rsidRPr="002A2392">
        <w:rPr>
          <w:rFonts w:ascii="Arial" w:hAnsi="Arial" w:cs="Arial"/>
          <w:b/>
          <w:bCs/>
          <w:sz w:val="20"/>
          <w:szCs w:val="20"/>
          <w:lang w:val="en-CA"/>
        </w:rPr>
        <w:t>Intellectual Property Protection</w:t>
      </w:r>
    </w:p>
    <w:p w14:paraId="32A00763" w14:textId="77777777" w:rsidR="0075420D" w:rsidRPr="002A2392" w:rsidRDefault="0075420D" w:rsidP="0075420D">
      <w:pPr>
        <w:jc w:val="both"/>
        <w:rPr>
          <w:rFonts w:ascii="Arial" w:hAnsi="Arial" w:cs="Arial"/>
          <w:sz w:val="20"/>
          <w:szCs w:val="20"/>
          <w:lang w:val="en-CA"/>
        </w:rPr>
      </w:pPr>
    </w:p>
    <w:p w14:paraId="40482048" w14:textId="20FD827F" w:rsidR="0075420D" w:rsidRPr="002A2392" w:rsidRDefault="0075420D" w:rsidP="0075420D">
      <w:pPr>
        <w:jc w:val="both"/>
        <w:rPr>
          <w:rFonts w:ascii="Arial" w:hAnsi="Arial" w:cs="Arial"/>
          <w:sz w:val="20"/>
          <w:szCs w:val="20"/>
          <w:lang w:val="en-CA"/>
        </w:rPr>
      </w:pPr>
      <w:r w:rsidRPr="002A2392">
        <w:rPr>
          <w:rFonts w:ascii="Arial" w:hAnsi="Arial" w:cs="Arial"/>
          <w:sz w:val="20"/>
          <w:szCs w:val="20"/>
          <w:lang w:val="en-CA"/>
        </w:rPr>
        <w:t xml:space="preserve">The Company’s intellectual property is protected primarily through trade secrets and copyright protection. The Company takes steps to document and protect its trade secrets and authorship of works protectable by copyright. However, there is no guarantee that such steps protect against the disclosure of confidential information, rights of employees, or that legal actions would provide sufficient remedy for any breach. Additionally, the Company’s trade secrets might otherwise become known or be independently developed </w:t>
      </w:r>
      <w:r w:rsidRPr="002A2392">
        <w:rPr>
          <w:rFonts w:ascii="Arial" w:hAnsi="Arial" w:cs="Arial"/>
          <w:sz w:val="20"/>
          <w:szCs w:val="20"/>
          <w:lang w:val="en-CA"/>
        </w:rPr>
        <w:lastRenderedPageBreak/>
        <w:t>by competitors. If the Company’s intellectual property cannot be protected, the business might be adversely affected.</w:t>
      </w:r>
    </w:p>
    <w:p w14:paraId="140528D7" w14:textId="77777777" w:rsidR="0075420D" w:rsidRPr="002A2392" w:rsidRDefault="0075420D" w:rsidP="0075420D">
      <w:pPr>
        <w:jc w:val="both"/>
        <w:rPr>
          <w:rFonts w:ascii="Arial" w:hAnsi="Arial" w:cs="Arial"/>
          <w:b/>
          <w:sz w:val="20"/>
          <w:szCs w:val="20"/>
          <w:lang w:val="en-CA"/>
        </w:rPr>
      </w:pPr>
    </w:p>
    <w:p w14:paraId="24FC6FB0" w14:textId="77777777" w:rsidR="0075420D" w:rsidRPr="002A2392" w:rsidRDefault="0075420D" w:rsidP="0075420D">
      <w:pPr>
        <w:jc w:val="both"/>
        <w:rPr>
          <w:rFonts w:ascii="Arial" w:hAnsi="Arial" w:cs="Arial"/>
          <w:b/>
          <w:sz w:val="20"/>
          <w:szCs w:val="20"/>
          <w:lang w:val="en-CA"/>
        </w:rPr>
      </w:pPr>
      <w:r w:rsidRPr="002A2392">
        <w:rPr>
          <w:rFonts w:ascii="Arial" w:hAnsi="Arial" w:cs="Arial"/>
          <w:b/>
          <w:sz w:val="20"/>
          <w:szCs w:val="20"/>
          <w:lang w:val="en-CA"/>
        </w:rPr>
        <w:t>Market Risk for Securities</w:t>
      </w:r>
    </w:p>
    <w:p w14:paraId="03557388" w14:textId="77777777" w:rsidR="0075420D" w:rsidRPr="002A2392" w:rsidRDefault="0075420D" w:rsidP="0075420D">
      <w:pPr>
        <w:jc w:val="both"/>
        <w:rPr>
          <w:rFonts w:ascii="Arial" w:hAnsi="Arial" w:cs="Arial"/>
          <w:sz w:val="20"/>
          <w:szCs w:val="20"/>
          <w:lang w:val="en-CA"/>
        </w:rPr>
      </w:pPr>
    </w:p>
    <w:p w14:paraId="003DCB8D" w14:textId="77777777" w:rsidR="0075420D" w:rsidRPr="002A2392" w:rsidRDefault="0075420D" w:rsidP="0075420D">
      <w:pPr>
        <w:jc w:val="both"/>
        <w:rPr>
          <w:rFonts w:ascii="Arial" w:hAnsi="Arial" w:cs="Arial"/>
          <w:sz w:val="20"/>
          <w:szCs w:val="20"/>
          <w:lang w:val="en-CA"/>
        </w:rPr>
      </w:pPr>
      <w:r w:rsidRPr="002A2392">
        <w:rPr>
          <w:rFonts w:ascii="Arial" w:hAnsi="Arial" w:cs="Arial"/>
          <w:sz w:val="20"/>
          <w:szCs w:val="20"/>
          <w:lang w:val="en-CA"/>
        </w:rPr>
        <w:t xml:space="preserve">The market price for the Company shares could be subject to wide fluctuations. Factors such as commodity prices, government regulation, interest rates, share price movements of peer companies and competitors, as well as overall market movements, may have a significant impact on the market price of the Company’s Shares. The stock market has from </w:t>
      </w:r>
      <w:proofErr w:type="gramStart"/>
      <w:r w:rsidRPr="002A2392">
        <w:rPr>
          <w:rFonts w:ascii="Arial" w:hAnsi="Arial" w:cs="Arial"/>
          <w:sz w:val="20"/>
          <w:szCs w:val="20"/>
          <w:lang w:val="en-CA"/>
        </w:rPr>
        <w:t>time to time</w:t>
      </w:r>
      <w:proofErr w:type="gramEnd"/>
      <w:r w:rsidRPr="002A2392">
        <w:rPr>
          <w:rFonts w:ascii="Arial" w:hAnsi="Arial" w:cs="Arial"/>
          <w:sz w:val="20"/>
          <w:szCs w:val="20"/>
          <w:lang w:val="en-CA"/>
        </w:rPr>
        <w:t xml:space="preserve"> experienced extreme price and volume fluctuations, which have often been unrelated to the operating performance of particular companies.</w:t>
      </w:r>
    </w:p>
    <w:p w14:paraId="5DB69AF7" w14:textId="77777777" w:rsidR="0075420D" w:rsidRPr="002A2392" w:rsidRDefault="0075420D" w:rsidP="0075420D">
      <w:pPr>
        <w:jc w:val="both"/>
        <w:rPr>
          <w:rFonts w:ascii="Arial" w:hAnsi="Arial" w:cs="Arial"/>
          <w:sz w:val="20"/>
          <w:szCs w:val="20"/>
          <w:lang w:val="en-CA"/>
        </w:rPr>
      </w:pPr>
    </w:p>
    <w:p w14:paraId="4163DF28" w14:textId="77777777" w:rsidR="0075420D" w:rsidRPr="002A2392" w:rsidRDefault="0075420D" w:rsidP="0075420D">
      <w:pPr>
        <w:jc w:val="both"/>
        <w:rPr>
          <w:rFonts w:ascii="Arial" w:hAnsi="Arial" w:cs="Arial"/>
          <w:b/>
          <w:sz w:val="20"/>
          <w:szCs w:val="20"/>
          <w:lang w:val="en-CA"/>
        </w:rPr>
      </w:pPr>
      <w:r w:rsidRPr="002A2392">
        <w:rPr>
          <w:rFonts w:ascii="Arial" w:hAnsi="Arial" w:cs="Arial"/>
          <w:b/>
          <w:sz w:val="20"/>
          <w:szCs w:val="20"/>
          <w:lang w:val="en-CA"/>
        </w:rPr>
        <w:t>Absence of Cash Dividends</w:t>
      </w:r>
    </w:p>
    <w:p w14:paraId="2F74D933" w14:textId="77777777" w:rsidR="0075420D" w:rsidRPr="002A2392" w:rsidRDefault="0075420D" w:rsidP="0075420D">
      <w:pPr>
        <w:jc w:val="both"/>
        <w:rPr>
          <w:rFonts w:ascii="Arial" w:hAnsi="Arial" w:cs="Arial"/>
          <w:sz w:val="20"/>
          <w:szCs w:val="20"/>
          <w:lang w:val="en-CA"/>
        </w:rPr>
      </w:pPr>
    </w:p>
    <w:p w14:paraId="30BD40EF" w14:textId="77777777" w:rsidR="0075420D" w:rsidRPr="002A2392" w:rsidRDefault="0075420D" w:rsidP="0075420D">
      <w:pPr>
        <w:jc w:val="both"/>
        <w:rPr>
          <w:rFonts w:ascii="Arial" w:hAnsi="Arial" w:cs="Arial"/>
          <w:sz w:val="20"/>
          <w:szCs w:val="20"/>
          <w:lang w:val="en-CA"/>
        </w:rPr>
      </w:pPr>
      <w:r w:rsidRPr="002A2392">
        <w:rPr>
          <w:rFonts w:ascii="Arial" w:hAnsi="Arial" w:cs="Arial"/>
          <w:sz w:val="20"/>
          <w:szCs w:val="20"/>
          <w:lang w:val="en-CA"/>
        </w:rPr>
        <w:t xml:space="preserve">To date, the Company has not paid any cash dividends on its Common </w:t>
      </w:r>
      <w:proofErr w:type="gramStart"/>
      <w:r w:rsidRPr="002A2392">
        <w:rPr>
          <w:rFonts w:ascii="Arial" w:hAnsi="Arial" w:cs="Arial"/>
          <w:sz w:val="20"/>
          <w:szCs w:val="20"/>
          <w:lang w:val="en-CA"/>
        </w:rPr>
        <w:t>Shares</w:t>
      </w:r>
      <w:proofErr w:type="gramEnd"/>
      <w:r w:rsidRPr="002A2392">
        <w:rPr>
          <w:rFonts w:ascii="Arial" w:hAnsi="Arial" w:cs="Arial"/>
          <w:sz w:val="20"/>
          <w:szCs w:val="20"/>
          <w:lang w:val="en-CA"/>
        </w:rPr>
        <w:t xml:space="preserve"> and it does not anticipate the payment of any dividends on its Common Shares in the foreseeable future.</w:t>
      </w:r>
    </w:p>
    <w:p w14:paraId="6770EEA2" w14:textId="77777777" w:rsidR="0075420D" w:rsidRPr="002A2392" w:rsidRDefault="0075420D" w:rsidP="0075420D">
      <w:pPr>
        <w:jc w:val="both"/>
        <w:rPr>
          <w:rFonts w:ascii="Arial" w:hAnsi="Arial" w:cs="Arial"/>
          <w:sz w:val="20"/>
          <w:szCs w:val="20"/>
          <w:lang w:val="en-CA"/>
        </w:rPr>
      </w:pPr>
      <w:bookmarkStart w:id="31" w:name="_Toc421028348"/>
    </w:p>
    <w:p w14:paraId="727FA693" w14:textId="77777777" w:rsidR="0075420D" w:rsidRPr="002A2392" w:rsidRDefault="0075420D" w:rsidP="0075420D">
      <w:pPr>
        <w:jc w:val="both"/>
        <w:rPr>
          <w:rFonts w:ascii="Arial" w:hAnsi="Arial" w:cs="Arial"/>
          <w:b/>
          <w:sz w:val="20"/>
          <w:szCs w:val="20"/>
          <w:lang w:val="en-CA"/>
        </w:rPr>
      </w:pPr>
      <w:bookmarkStart w:id="32" w:name="_Toc257722067"/>
      <w:bookmarkStart w:id="33" w:name="_Toc257721859"/>
      <w:bookmarkStart w:id="34" w:name="_Toc257721503"/>
      <w:bookmarkEnd w:id="31"/>
      <w:r w:rsidRPr="002A2392">
        <w:rPr>
          <w:rFonts w:ascii="Arial" w:hAnsi="Arial" w:cs="Arial"/>
          <w:b/>
          <w:sz w:val="20"/>
          <w:szCs w:val="20"/>
          <w:lang w:val="en-CA"/>
        </w:rPr>
        <w:t>Smaller Companies</w:t>
      </w:r>
      <w:bookmarkEnd w:id="32"/>
      <w:bookmarkEnd w:id="33"/>
      <w:bookmarkEnd w:id="34"/>
    </w:p>
    <w:p w14:paraId="26263A8F" w14:textId="77777777" w:rsidR="0075420D" w:rsidRPr="002A2392" w:rsidRDefault="0075420D" w:rsidP="0075420D">
      <w:pPr>
        <w:jc w:val="both"/>
        <w:rPr>
          <w:rFonts w:ascii="Arial" w:hAnsi="Arial" w:cs="Arial"/>
          <w:sz w:val="20"/>
          <w:szCs w:val="20"/>
          <w:lang w:val="en-CA"/>
        </w:rPr>
      </w:pPr>
    </w:p>
    <w:p w14:paraId="23A13BD2" w14:textId="491397A5" w:rsidR="0075420D" w:rsidRPr="002A2392" w:rsidRDefault="0075420D" w:rsidP="0075420D">
      <w:pPr>
        <w:jc w:val="both"/>
        <w:rPr>
          <w:rFonts w:ascii="Arial" w:hAnsi="Arial" w:cs="Arial"/>
          <w:sz w:val="20"/>
          <w:szCs w:val="20"/>
          <w:lang w:val="en-CA"/>
        </w:rPr>
      </w:pPr>
      <w:r w:rsidRPr="002A2392">
        <w:rPr>
          <w:rFonts w:ascii="Arial" w:hAnsi="Arial" w:cs="Arial"/>
          <w:sz w:val="20"/>
          <w:szCs w:val="20"/>
          <w:lang w:val="en-CA"/>
        </w:rPr>
        <w:t>Market perception of smaller companies may change, potentially affecting the value of investors’ holdings and the ability of the Company to raise further funds through the issue of further Common Shares or otherwise. The share price of publicly traded smaller companies can be highly volatile. The value of the Company’s securities may go down as well as up</w:t>
      </w:r>
      <w:r w:rsidR="00ED4289" w:rsidRPr="002A2392">
        <w:rPr>
          <w:rFonts w:ascii="Arial" w:hAnsi="Arial" w:cs="Arial"/>
          <w:sz w:val="20"/>
          <w:szCs w:val="20"/>
          <w:lang w:val="en-CA"/>
        </w:rPr>
        <w:t>,</w:t>
      </w:r>
      <w:r w:rsidRPr="002A2392">
        <w:rPr>
          <w:rFonts w:ascii="Arial" w:hAnsi="Arial" w:cs="Arial"/>
          <w:sz w:val="20"/>
          <w:szCs w:val="20"/>
          <w:lang w:val="en-CA"/>
        </w:rPr>
        <w:t xml:space="preserve"> </w:t>
      </w:r>
      <w:proofErr w:type="gramStart"/>
      <w:r w:rsidR="00090D0A" w:rsidRPr="002A2392">
        <w:rPr>
          <w:rFonts w:ascii="Arial" w:hAnsi="Arial" w:cs="Arial"/>
          <w:sz w:val="20"/>
          <w:szCs w:val="20"/>
          <w:lang w:val="en-CA"/>
        </w:rPr>
        <w:t>and,</w:t>
      </w:r>
      <w:proofErr w:type="gramEnd"/>
      <w:r w:rsidR="00090D0A" w:rsidRPr="002A2392">
        <w:rPr>
          <w:rFonts w:ascii="Arial" w:hAnsi="Arial" w:cs="Arial"/>
          <w:sz w:val="20"/>
          <w:szCs w:val="20"/>
          <w:lang w:val="en-CA"/>
        </w:rPr>
        <w:t xml:space="preserve"> the</w:t>
      </w:r>
      <w:r w:rsidRPr="002A2392">
        <w:rPr>
          <w:rFonts w:ascii="Arial" w:hAnsi="Arial" w:cs="Arial"/>
          <w:sz w:val="20"/>
          <w:szCs w:val="20"/>
          <w:lang w:val="en-CA"/>
        </w:rPr>
        <w:t xml:space="preserve"> share price may be subject to sudden and large falls in value given the restricted marketability of the Common Shares, results of operations, changes in earnings estimates or changes in general market, economic and political conditions.</w:t>
      </w:r>
    </w:p>
    <w:p w14:paraId="7B809FC8" w14:textId="77777777" w:rsidR="0075420D" w:rsidRPr="002A2392" w:rsidRDefault="0075420D" w:rsidP="0075420D">
      <w:pPr>
        <w:jc w:val="both"/>
        <w:rPr>
          <w:rFonts w:ascii="Arial" w:hAnsi="Arial" w:cs="Arial"/>
          <w:bCs/>
          <w:sz w:val="20"/>
          <w:szCs w:val="20"/>
          <w:lang w:val="en-CA"/>
        </w:rPr>
      </w:pPr>
    </w:p>
    <w:p w14:paraId="6969178F" w14:textId="77777777" w:rsidR="0075420D" w:rsidRPr="002A2392" w:rsidRDefault="0075420D" w:rsidP="0075420D">
      <w:pPr>
        <w:jc w:val="both"/>
        <w:rPr>
          <w:rFonts w:ascii="Arial" w:hAnsi="Arial" w:cs="Arial"/>
          <w:b/>
          <w:bCs/>
          <w:sz w:val="20"/>
          <w:szCs w:val="20"/>
          <w:lang w:val="en-CA"/>
        </w:rPr>
      </w:pPr>
      <w:r w:rsidRPr="002A2392">
        <w:rPr>
          <w:rFonts w:ascii="Arial" w:hAnsi="Arial" w:cs="Arial"/>
          <w:b/>
          <w:bCs/>
          <w:sz w:val="20"/>
          <w:szCs w:val="20"/>
          <w:lang w:val="en-CA"/>
        </w:rPr>
        <w:t>Future Sales by Significant Shareholders</w:t>
      </w:r>
    </w:p>
    <w:p w14:paraId="7FB9B12C" w14:textId="77777777" w:rsidR="0075420D" w:rsidRPr="002A2392" w:rsidRDefault="0075420D" w:rsidP="0075420D">
      <w:pPr>
        <w:jc w:val="both"/>
        <w:rPr>
          <w:rFonts w:ascii="Arial" w:hAnsi="Arial" w:cs="Arial"/>
          <w:sz w:val="20"/>
          <w:szCs w:val="20"/>
          <w:lang w:val="en-CA"/>
        </w:rPr>
      </w:pPr>
    </w:p>
    <w:bookmarkEnd w:id="25"/>
    <w:bookmarkEnd w:id="26"/>
    <w:p w14:paraId="4749EAA2" w14:textId="5EB6B694" w:rsidR="0075420D" w:rsidRDefault="00FB7769" w:rsidP="00D64C26">
      <w:pPr>
        <w:jc w:val="both"/>
        <w:rPr>
          <w:rFonts w:ascii="Arial" w:hAnsi="Arial" w:cs="Arial"/>
          <w:sz w:val="20"/>
          <w:szCs w:val="20"/>
        </w:rPr>
      </w:pPr>
      <w:r w:rsidRPr="002A2392">
        <w:rPr>
          <w:rFonts w:ascii="Arial" w:hAnsi="Arial" w:cs="Arial"/>
          <w:sz w:val="20"/>
          <w:szCs w:val="20"/>
          <w:lang w:val="en-CA"/>
        </w:rPr>
        <w:t xml:space="preserve">Following release of shares from the resale restrictions imposed by the terms of the escrow agreement </w:t>
      </w:r>
      <w:proofErr w:type="gramStart"/>
      <w:r w:rsidRPr="002A2392">
        <w:rPr>
          <w:rFonts w:ascii="Arial" w:hAnsi="Arial" w:cs="Arial"/>
          <w:sz w:val="20"/>
          <w:szCs w:val="20"/>
          <w:lang w:val="en-CA"/>
        </w:rPr>
        <w:t>entered into</w:t>
      </w:r>
      <w:proofErr w:type="gramEnd"/>
      <w:r w:rsidRPr="002A2392">
        <w:rPr>
          <w:rFonts w:ascii="Arial" w:hAnsi="Arial" w:cs="Arial"/>
          <w:sz w:val="20"/>
          <w:szCs w:val="20"/>
          <w:lang w:val="en-CA"/>
        </w:rPr>
        <w:t xml:space="preserve"> by the former shareholders of the Company prior to its going public transaction with Archer Petroleum Corp., should the former shareholders of the Company determine to act in concert and sell their shares, the market price of the Common Shares may fall. This could result from the pressure on the market caused by such sales, or from concern that the sales signify problems in the Company’s operations, or from some combination of the two. Mitigating this risk to some extent, though in no way eliminating it, is the fact that the securities subject to the escrow agreement are subject to certain release provisions.</w:t>
      </w:r>
    </w:p>
    <w:p w14:paraId="22873F62" w14:textId="77777777" w:rsidR="00D64C26" w:rsidRPr="00D64C26" w:rsidRDefault="00D64C26" w:rsidP="00D64C26">
      <w:pPr>
        <w:jc w:val="both"/>
        <w:rPr>
          <w:rFonts w:ascii="Arial" w:hAnsi="Arial" w:cs="Arial"/>
          <w:sz w:val="20"/>
          <w:szCs w:val="20"/>
        </w:rPr>
      </w:pPr>
    </w:p>
    <w:p w14:paraId="46D326B0" w14:textId="3458E48C" w:rsidR="00CF38CD" w:rsidRPr="002A2392" w:rsidRDefault="00CF38CD" w:rsidP="00CF38CD">
      <w:pPr>
        <w:jc w:val="both"/>
        <w:rPr>
          <w:rFonts w:ascii="Arial" w:hAnsi="Arial" w:cs="Arial"/>
          <w:b/>
          <w:bCs/>
          <w:sz w:val="20"/>
          <w:szCs w:val="20"/>
          <w:lang w:val="en-CA"/>
        </w:rPr>
      </w:pPr>
      <w:r w:rsidRPr="002A2392">
        <w:rPr>
          <w:rFonts w:ascii="Arial" w:hAnsi="Arial" w:cs="Arial"/>
          <w:b/>
          <w:bCs/>
          <w:sz w:val="20"/>
          <w:szCs w:val="20"/>
          <w:lang w:val="en-CA"/>
        </w:rPr>
        <w:t>Seasonality</w:t>
      </w:r>
      <w:r w:rsidR="003C48BE" w:rsidRPr="002A2392">
        <w:rPr>
          <w:rFonts w:ascii="Arial" w:hAnsi="Arial" w:cs="Arial"/>
          <w:b/>
          <w:bCs/>
          <w:sz w:val="20"/>
          <w:szCs w:val="20"/>
          <w:lang w:val="en-CA"/>
        </w:rPr>
        <w:t xml:space="preserve"> risk</w:t>
      </w:r>
    </w:p>
    <w:p w14:paraId="2D801544" w14:textId="77777777" w:rsidR="00CF38CD" w:rsidRPr="002A2392" w:rsidRDefault="00CF38CD" w:rsidP="00CF38CD">
      <w:pPr>
        <w:jc w:val="both"/>
        <w:rPr>
          <w:rFonts w:ascii="Arial" w:hAnsi="Arial" w:cs="Arial"/>
          <w:sz w:val="20"/>
          <w:szCs w:val="20"/>
          <w:lang w:val="en-CA"/>
        </w:rPr>
      </w:pPr>
    </w:p>
    <w:p w14:paraId="713CA6E6" w14:textId="024AA572" w:rsidR="004B1BC0" w:rsidRPr="002A2392" w:rsidRDefault="00CF38CD" w:rsidP="00CF38CD">
      <w:pPr>
        <w:jc w:val="both"/>
        <w:rPr>
          <w:rFonts w:ascii="Arial" w:hAnsi="Arial" w:cs="Arial"/>
          <w:sz w:val="20"/>
          <w:szCs w:val="20"/>
          <w:lang w:val="en-CA"/>
        </w:rPr>
      </w:pPr>
      <w:r w:rsidRPr="002A2392">
        <w:rPr>
          <w:rFonts w:ascii="Arial" w:hAnsi="Arial" w:cs="Arial"/>
          <w:sz w:val="20"/>
          <w:szCs w:val="20"/>
          <w:lang w:val="en-CA"/>
        </w:rPr>
        <w:t xml:space="preserve">As the Company continues its acquisitions across Canada there are several locations that will face extreme weather conditions that will impact manufacturing and delivery of products. It will also impact </w:t>
      </w:r>
      <w:r w:rsidR="00387BCA" w:rsidRPr="002A2392">
        <w:rPr>
          <w:rFonts w:ascii="Arial" w:hAnsi="Arial" w:cs="Arial"/>
          <w:sz w:val="20"/>
          <w:szCs w:val="20"/>
          <w:lang w:val="en-CA"/>
        </w:rPr>
        <w:t>the Company’s</w:t>
      </w:r>
      <w:r w:rsidRPr="002A2392">
        <w:rPr>
          <w:rFonts w:ascii="Arial" w:hAnsi="Arial" w:cs="Arial"/>
          <w:sz w:val="20"/>
          <w:szCs w:val="20"/>
          <w:lang w:val="en-CA"/>
        </w:rPr>
        <w:t xml:space="preserve"> customers and deliveries could be delayed. </w:t>
      </w:r>
    </w:p>
    <w:p w14:paraId="106A6FA6" w14:textId="77777777" w:rsidR="00CF38CD" w:rsidRPr="002A2392" w:rsidRDefault="00CF38CD">
      <w:pPr>
        <w:rPr>
          <w:rFonts w:ascii="Arial" w:hAnsi="Arial" w:cs="Arial"/>
          <w:b/>
          <w:sz w:val="20"/>
          <w:szCs w:val="20"/>
        </w:rPr>
      </w:pPr>
    </w:p>
    <w:p w14:paraId="00BAFEA9" w14:textId="12FA0B7E" w:rsidR="00AE552F" w:rsidRPr="002A2392" w:rsidRDefault="00F62607" w:rsidP="00AE552F">
      <w:pPr>
        <w:jc w:val="both"/>
        <w:rPr>
          <w:rFonts w:ascii="Arial" w:hAnsi="Arial" w:cs="Arial"/>
          <w:b/>
          <w:bCs/>
          <w:sz w:val="20"/>
          <w:szCs w:val="20"/>
          <w:lang w:val="en-CA"/>
        </w:rPr>
      </w:pPr>
      <w:r w:rsidRPr="002A2392">
        <w:rPr>
          <w:rFonts w:ascii="Arial" w:hAnsi="Arial" w:cs="Arial"/>
          <w:b/>
          <w:bCs/>
          <w:sz w:val="20"/>
          <w:szCs w:val="20"/>
          <w:lang w:val="en-CA"/>
        </w:rPr>
        <w:t>Macro-E</w:t>
      </w:r>
      <w:r w:rsidR="00AE552F" w:rsidRPr="002A2392">
        <w:rPr>
          <w:rFonts w:ascii="Arial" w:hAnsi="Arial" w:cs="Arial"/>
          <w:b/>
          <w:bCs/>
          <w:sz w:val="20"/>
          <w:szCs w:val="20"/>
          <w:lang w:val="en-CA"/>
        </w:rPr>
        <w:t>conomic risk</w:t>
      </w:r>
    </w:p>
    <w:p w14:paraId="20C84D06" w14:textId="77777777" w:rsidR="00AE552F" w:rsidRPr="002A2392" w:rsidRDefault="00AE552F" w:rsidP="00AE552F">
      <w:pPr>
        <w:jc w:val="both"/>
        <w:rPr>
          <w:rFonts w:ascii="Arial" w:hAnsi="Arial" w:cs="Arial"/>
          <w:sz w:val="20"/>
          <w:szCs w:val="20"/>
          <w:lang w:val="en-CA"/>
        </w:rPr>
      </w:pPr>
    </w:p>
    <w:p w14:paraId="77F48F9B" w14:textId="77777777" w:rsidR="006506EE" w:rsidRPr="002D2251" w:rsidRDefault="006506EE" w:rsidP="006506EE">
      <w:pPr>
        <w:jc w:val="both"/>
        <w:rPr>
          <w:rFonts w:ascii="Arial" w:hAnsi="Arial" w:cs="Arial"/>
          <w:sz w:val="20"/>
          <w:szCs w:val="20"/>
          <w:lang w:val="en-CA"/>
        </w:rPr>
      </w:pPr>
      <w:r w:rsidRPr="002A2392">
        <w:rPr>
          <w:rFonts w:ascii="Arial" w:hAnsi="Arial" w:cs="Arial"/>
          <w:sz w:val="20"/>
          <w:szCs w:val="20"/>
          <w:lang w:val="en-CA"/>
        </w:rPr>
        <w:t xml:space="preserve">The Company may also be negatively affected by economic downturns or other disruptions to commercial and residential construction </w:t>
      </w:r>
      <w:r w:rsidRPr="002D2251">
        <w:rPr>
          <w:rFonts w:ascii="Arial" w:hAnsi="Arial" w:cs="Arial"/>
          <w:sz w:val="20"/>
          <w:szCs w:val="20"/>
          <w:lang w:val="en-CA"/>
        </w:rPr>
        <w:t>markets, which could affect the demand for the Company’s products and services, and in turn negatively affect the Company’s financial condition and results.  Economic slowdowns may also affect capital or credit markets, affecting our ability to raise capital or credit for the purpose of achieving our business objectives.</w:t>
      </w:r>
    </w:p>
    <w:p w14:paraId="7C362BC9" w14:textId="0CB7774F" w:rsidR="006506EE" w:rsidRPr="002D2251" w:rsidRDefault="006506EE" w:rsidP="006506EE">
      <w:pPr>
        <w:jc w:val="both"/>
        <w:rPr>
          <w:rFonts w:ascii="Arial" w:hAnsi="Arial" w:cs="Arial"/>
          <w:sz w:val="20"/>
          <w:szCs w:val="20"/>
          <w:lang w:val="en-CA"/>
        </w:rPr>
      </w:pPr>
    </w:p>
    <w:p w14:paraId="7568D821" w14:textId="718E9258" w:rsidR="00063323" w:rsidRPr="002D2251" w:rsidRDefault="002D2251" w:rsidP="006506EE">
      <w:pPr>
        <w:jc w:val="both"/>
        <w:rPr>
          <w:rFonts w:ascii="Arial" w:hAnsi="Arial" w:cs="Arial"/>
          <w:b/>
          <w:bCs/>
          <w:sz w:val="20"/>
          <w:szCs w:val="20"/>
          <w:lang w:val="en-CA"/>
        </w:rPr>
      </w:pPr>
      <w:r w:rsidRPr="002D2251">
        <w:rPr>
          <w:rFonts w:ascii="Arial" w:hAnsi="Arial" w:cs="Arial"/>
          <w:b/>
          <w:bCs/>
          <w:sz w:val="20"/>
          <w:szCs w:val="20"/>
          <w:lang w:val="en-CA"/>
        </w:rPr>
        <w:t>National Pandemic risk</w:t>
      </w:r>
    </w:p>
    <w:p w14:paraId="461E1FD1" w14:textId="77777777" w:rsidR="00063323" w:rsidRPr="002D2251" w:rsidRDefault="00063323" w:rsidP="006506EE">
      <w:pPr>
        <w:jc w:val="both"/>
        <w:rPr>
          <w:rFonts w:ascii="Arial" w:hAnsi="Arial" w:cs="Arial"/>
          <w:sz w:val="20"/>
          <w:szCs w:val="20"/>
          <w:lang w:val="en-CA"/>
        </w:rPr>
      </w:pPr>
    </w:p>
    <w:p w14:paraId="453AAF3C" w14:textId="05913382" w:rsidR="006506EE" w:rsidRPr="006B73FA" w:rsidRDefault="00746CE5" w:rsidP="006506EE">
      <w:pPr>
        <w:jc w:val="both"/>
        <w:rPr>
          <w:rFonts w:ascii="Arial" w:hAnsi="Arial" w:cs="Arial"/>
          <w:bCs/>
          <w:sz w:val="20"/>
          <w:szCs w:val="20"/>
          <w:lang w:val="en-CA"/>
        </w:rPr>
      </w:pPr>
      <w:r w:rsidRPr="002D2251">
        <w:rPr>
          <w:rFonts w:ascii="Arial" w:hAnsi="Arial" w:cs="Arial"/>
          <w:sz w:val="20"/>
          <w:szCs w:val="20"/>
          <w:lang w:val="en-CA"/>
        </w:rPr>
        <w:t xml:space="preserve">Pandemics, such as the COVID-19 pandemic, have the potential to disrupt the Company’s operations, </w:t>
      </w:r>
      <w:proofErr w:type="gramStart"/>
      <w:r w:rsidRPr="002D2251">
        <w:rPr>
          <w:rFonts w:ascii="Arial" w:hAnsi="Arial" w:cs="Arial"/>
          <w:sz w:val="20"/>
          <w:szCs w:val="20"/>
          <w:lang w:val="en-CA"/>
        </w:rPr>
        <w:t>projects</w:t>
      </w:r>
      <w:proofErr w:type="gramEnd"/>
      <w:r w:rsidRPr="002D2251">
        <w:rPr>
          <w:rFonts w:ascii="Arial" w:hAnsi="Arial" w:cs="Arial"/>
          <w:sz w:val="20"/>
          <w:szCs w:val="20"/>
          <w:lang w:val="en-CA"/>
        </w:rPr>
        <w:t xml:space="preserve"> and business prospects through the disruption of operations at the Company’s plants, disruption of the local, national and international supply chain and transportation services, and the loss of labour from quarantines and/or work restrictions, any of which may require the Company to temporarily reduce or shut down its operations.  In addition, large scale epidemics, quarantines and work restrictions could negatively </w:t>
      </w:r>
      <w:r w:rsidRPr="002D2251">
        <w:rPr>
          <w:rFonts w:ascii="Arial" w:hAnsi="Arial" w:cs="Arial"/>
          <w:sz w:val="20"/>
          <w:szCs w:val="20"/>
          <w:lang w:val="en-CA"/>
        </w:rPr>
        <w:lastRenderedPageBreak/>
        <w:t xml:space="preserve">impact the construction market, the demand for the Company’s products and services, or the collection of accounts receivable, any of which could have a material adverse affect on the Company’s financial condition and results. </w:t>
      </w:r>
      <w:r w:rsidRPr="002D2251">
        <w:rPr>
          <w:rFonts w:ascii="Arial" w:hAnsi="Arial" w:cs="Arial"/>
          <w:sz w:val="20"/>
          <w:szCs w:val="20"/>
        </w:rPr>
        <w:t>To date, the Company has experienced minimal impacts compared to other industries</w:t>
      </w:r>
      <w:r w:rsidRPr="002D2251">
        <w:rPr>
          <w:rFonts w:ascii="Arial" w:hAnsi="Arial" w:cs="Arial"/>
          <w:bCs/>
          <w:sz w:val="20"/>
          <w:szCs w:val="20"/>
          <w:lang w:val="en-CA"/>
        </w:rPr>
        <w:t xml:space="preserve">; </w:t>
      </w:r>
      <w:proofErr w:type="gramStart"/>
      <w:r w:rsidRPr="002D2251">
        <w:rPr>
          <w:rFonts w:ascii="Arial" w:hAnsi="Arial" w:cs="Arial"/>
          <w:bCs/>
          <w:sz w:val="20"/>
          <w:szCs w:val="20"/>
          <w:lang w:val="en-CA"/>
        </w:rPr>
        <w:t>however</w:t>
      </w:r>
      <w:proofErr w:type="gramEnd"/>
      <w:r w:rsidRPr="002D2251">
        <w:rPr>
          <w:rFonts w:ascii="Arial" w:hAnsi="Arial" w:cs="Arial"/>
          <w:bCs/>
          <w:sz w:val="20"/>
          <w:szCs w:val="20"/>
          <w:lang w:val="en-CA"/>
        </w:rPr>
        <w:t xml:space="preserve"> there may be a material impact on the Company’s financial position, results of operations, cash flows, and ability to obtain financing in future periods depending on the progress of the pandemic and any future potential lockdowns. </w:t>
      </w:r>
      <w:proofErr w:type="gramStart"/>
      <w:r w:rsidRPr="002D2251">
        <w:rPr>
          <w:rFonts w:ascii="Arial" w:hAnsi="Arial" w:cs="Arial"/>
          <w:bCs/>
          <w:sz w:val="20"/>
          <w:szCs w:val="20"/>
          <w:lang w:val="en-CA"/>
        </w:rPr>
        <w:t>In particular, there</w:t>
      </w:r>
      <w:proofErr w:type="gramEnd"/>
      <w:r w:rsidRPr="002D2251">
        <w:rPr>
          <w:rFonts w:ascii="Arial" w:hAnsi="Arial" w:cs="Arial"/>
          <w:bCs/>
          <w:sz w:val="20"/>
          <w:szCs w:val="20"/>
          <w:lang w:val="en-CA"/>
        </w:rPr>
        <w:t xml:space="preserve"> may be an increased risk of future goodwill and intangible asset impairments. </w:t>
      </w:r>
      <w:r w:rsidRPr="002D2251">
        <w:rPr>
          <w:rFonts w:ascii="Arial" w:hAnsi="Arial" w:cs="Arial"/>
          <w:sz w:val="20"/>
          <w:szCs w:val="20"/>
        </w:rPr>
        <w:t xml:space="preserve">These uncertainties arise from the inability to predict the ultimate duration of the outbreak, the duration of travel restrictions, business closures or disruptions, and quarantine/isolation measures that are currently, or may be </w:t>
      </w:r>
      <w:r w:rsidRPr="006B73FA">
        <w:rPr>
          <w:rFonts w:ascii="Arial" w:hAnsi="Arial" w:cs="Arial"/>
          <w:sz w:val="20"/>
          <w:szCs w:val="20"/>
        </w:rPr>
        <w:t xml:space="preserve">put, in place world-wide to fight the virus as required. </w:t>
      </w:r>
    </w:p>
    <w:p w14:paraId="79BB2037" w14:textId="04B9C642" w:rsidR="0075420D" w:rsidRPr="006B73FA" w:rsidRDefault="0075420D" w:rsidP="0075420D">
      <w:pPr>
        <w:adjustRightInd w:val="0"/>
        <w:ind w:hanging="6"/>
        <w:jc w:val="both"/>
        <w:rPr>
          <w:rFonts w:ascii="Arial" w:hAnsi="Arial" w:cs="Arial"/>
          <w:b/>
          <w:sz w:val="20"/>
          <w:szCs w:val="20"/>
        </w:rPr>
      </w:pPr>
    </w:p>
    <w:p w14:paraId="0F4D73C6" w14:textId="62F11057" w:rsidR="00387BCA" w:rsidRPr="006B73FA" w:rsidRDefault="00387BCA" w:rsidP="00E832FC">
      <w:pPr>
        <w:keepNext/>
        <w:adjustRightInd w:val="0"/>
        <w:jc w:val="both"/>
        <w:rPr>
          <w:rFonts w:ascii="Arial" w:hAnsi="Arial" w:cs="Arial"/>
          <w:b/>
          <w:bCs/>
          <w:sz w:val="20"/>
          <w:szCs w:val="20"/>
        </w:rPr>
      </w:pPr>
      <w:r w:rsidRPr="006B73FA">
        <w:rPr>
          <w:rFonts w:ascii="Arial" w:hAnsi="Arial" w:cs="Arial"/>
          <w:b/>
          <w:bCs/>
          <w:noProof/>
          <w:sz w:val="20"/>
          <w:szCs w:val="20"/>
        </w:rPr>
        <mc:AlternateContent>
          <mc:Choice Requires="wps">
            <w:drawing>
              <wp:anchor distT="0" distB="0" distL="114300" distR="114300" simplePos="0" relativeHeight="251687424" behindDoc="0" locked="0" layoutInCell="1" allowOverlap="1" wp14:anchorId="44E93794" wp14:editId="42060946">
                <wp:simplePos x="0" y="0"/>
                <wp:positionH relativeFrom="page">
                  <wp:posOffset>823595</wp:posOffset>
                </wp:positionH>
                <wp:positionV relativeFrom="paragraph">
                  <wp:posOffset>201930</wp:posOffset>
                </wp:positionV>
                <wp:extent cx="6219825" cy="0"/>
                <wp:effectExtent l="13970" t="13970" r="5080" b="5080"/>
                <wp:wrapNone/>
                <wp:docPr id="36"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A79F2" id="Line 538" o:spid="_x0000_s1026" style="position:absolute;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85pt,15.9pt" to="554.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" strokeweight=".48pt">
                <w10:wrap anchorx="page"/>
              </v:line>
            </w:pict>
          </mc:Fallback>
        </mc:AlternateContent>
      </w:r>
      <w:r w:rsidRPr="006B73FA">
        <w:rPr>
          <w:rFonts w:ascii="Arial" w:hAnsi="Arial" w:cs="Arial"/>
          <w:b/>
          <w:bCs/>
          <w:noProof/>
          <w:sz w:val="20"/>
          <w:szCs w:val="20"/>
        </w:rPr>
        <w:t>SUBSEQUENT EVENTS</w:t>
      </w:r>
    </w:p>
    <w:p w14:paraId="295F37B7" w14:textId="77777777" w:rsidR="00387BCA" w:rsidRPr="006B73FA" w:rsidRDefault="00387BCA" w:rsidP="00AF4E87">
      <w:pPr>
        <w:keepNext/>
        <w:spacing w:line="218" w:lineRule="auto"/>
        <w:jc w:val="both"/>
        <w:rPr>
          <w:rFonts w:ascii="Arial" w:hAnsi="Arial" w:cs="Arial"/>
          <w:sz w:val="20"/>
          <w:szCs w:val="20"/>
        </w:rPr>
      </w:pPr>
    </w:p>
    <w:p w14:paraId="483BA5A3" w14:textId="77777777" w:rsidR="004D618E" w:rsidRPr="004D618E" w:rsidRDefault="004D618E" w:rsidP="004D618E">
      <w:pPr>
        <w:widowControl/>
        <w:tabs>
          <w:tab w:val="right" w:pos="10080"/>
        </w:tabs>
        <w:autoSpaceDE/>
        <w:autoSpaceDN/>
        <w:jc w:val="both"/>
        <w:rPr>
          <w:rFonts w:ascii="Arial" w:eastAsia="Times New Roman" w:hAnsi="Arial" w:cs="Arial"/>
          <w:bCs/>
          <w:sz w:val="20"/>
          <w:szCs w:val="20"/>
          <w:lang w:val="en-CA" w:eastAsia="zh-TW"/>
        </w:rPr>
      </w:pPr>
    </w:p>
    <w:p w14:paraId="334E3BBA" w14:textId="77777777" w:rsidR="004D618E" w:rsidRPr="004D618E" w:rsidRDefault="004D618E" w:rsidP="004D618E">
      <w:pPr>
        <w:widowControl/>
        <w:numPr>
          <w:ilvl w:val="0"/>
          <w:numId w:val="33"/>
        </w:numPr>
        <w:tabs>
          <w:tab w:val="right" w:pos="10080"/>
        </w:tabs>
        <w:autoSpaceDE/>
        <w:autoSpaceDN/>
        <w:ind w:left="284" w:hanging="284"/>
        <w:contextualSpacing/>
        <w:jc w:val="both"/>
        <w:rPr>
          <w:rFonts w:ascii="Arial" w:eastAsia="Times New Roman" w:hAnsi="Arial" w:cs="Arial"/>
          <w:b/>
          <w:bCs/>
          <w:sz w:val="20"/>
          <w:szCs w:val="20"/>
          <w:lang w:val="en-CA" w:eastAsia="zh-TW"/>
        </w:rPr>
      </w:pPr>
      <w:r w:rsidRPr="004D618E">
        <w:rPr>
          <w:rFonts w:ascii="Arial" w:eastAsia="Times New Roman" w:hAnsi="Arial" w:cs="Arial"/>
          <w:b/>
          <w:bCs/>
          <w:sz w:val="20"/>
          <w:szCs w:val="20"/>
          <w:lang w:val="en-CA" w:eastAsia="zh-TW"/>
        </w:rPr>
        <w:t>Options</w:t>
      </w:r>
    </w:p>
    <w:p w14:paraId="5B561C6B" w14:textId="77777777" w:rsidR="004D618E" w:rsidRPr="004D618E" w:rsidRDefault="004D618E" w:rsidP="004D618E">
      <w:pPr>
        <w:widowControl/>
        <w:autoSpaceDE/>
        <w:autoSpaceDN/>
        <w:jc w:val="both"/>
        <w:rPr>
          <w:rFonts w:ascii="Arial" w:eastAsia="Times New Roman" w:hAnsi="Arial" w:cs="Times New Roman"/>
          <w:sz w:val="20"/>
          <w:szCs w:val="24"/>
          <w:lang w:val="en-CA" w:eastAsia="zh-TW"/>
        </w:rPr>
      </w:pPr>
    </w:p>
    <w:p w14:paraId="118D2A83" w14:textId="77777777" w:rsidR="004D618E" w:rsidRPr="004D618E" w:rsidRDefault="004D618E" w:rsidP="004D618E">
      <w:pPr>
        <w:widowControl/>
        <w:autoSpaceDE/>
        <w:autoSpaceDN/>
        <w:jc w:val="both"/>
        <w:rPr>
          <w:rFonts w:ascii="Arial" w:eastAsia="Times New Roman" w:hAnsi="Arial" w:cs="Times New Roman"/>
          <w:sz w:val="20"/>
          <w:szCs w:val="24"/>
          <w:lang w:val="en-CA" w:eastAsia="zh-TW"/>
        </w:rPr>
      </w:pPr>
      <w:bookmarkStart w:id="35" w:name="_Hlk66814879"/>
      <w:r w:rsidRPr="004D618E">
        <w:rPr>
          <w:rFonts w:ascii="Arial" w:eastAsia="Times New Roman" w:hAnsi="Arial" w:cs="Times New Roman"/>
          <w:sz w:val="20"/>
          <w:szCs w:val="24"/>
          <w:lang w:val="en-CA" w:eastAsia="zh-TW"/>
        </w:rPr>
        <w:t xml:space="preserve">As of January 4, 2022, the Company granted 425,000 options that can be exercised at $0.60 per common share. These options follow the share purchase plan of the Company. The fair value estimation of these options is $336,669 after </w:t>
      </w:r>
      <w:proofErr w:type="gramStart"/>
      <w:r w:rsidRPr="004D618E">
        <w:rPr>
          <w:rFonts w:ascii="Arial" w:eastAsia="Times New Roman" w:hAnsi="Arial" w:cs="Times New Roman"/>
          <w:sz w:val="20"/>
          <w:szCs w:val="24"/>
          <w:lang w:val="en-CA" w:eastAsia="zh-TW"/>
        </w:rPr>
        <w:t>taking into account</w:t>
      </w:r>
      <w:proofErr w:type="gramEnd"/>
      <w:r w:rsidRPr="004D618E">
        <w:rPr>
          <w:rFonts w:ascii="Arial" w:eastAsia="Times New Roman" w:hAnsi="Arial" w:cs="Times New Roman"/>
          <w:sz w:val="20"/>
          <w:szCs w:val="24"/>
          <w:lang w:val="en-CA" w:eastAsia="zh-TW"/>
        </w:rPr>
        <w:t xml:space="preserve"> a forfeiture rate of 22.84% based on actual forfeiture history. </w:t>
      </w:r>
    </w:p>
    <w:bookmarkEnd w:id="35"/>
    <w:p w14:paraId="6FA49DCE" w14:textId="77777777" w:rsidR="004D618E" w:rsidRPr="004D618E" w:rsidRDefault="004D618E" w:rsidP="004D618E">
      <w:pPr>
        <w:widowControl/>
        <w:tabs>
          <w:tab w:val="right" w:pos="10080"/>
        </w:tabs>
        <w:autoSpaceDE/>
        <w:autoSpaceDN/>
        <w:jc w:val="both"/>
        <w:rPr>
          <w:rFonts w:ascii="Arial" w:eastAsia="Times New Roman" w:hAnsi="Arial" w:cs="Arial"/>
          <w:bCs/>
          <w:sz w:val="20"/>
          <w:szCs w:val="20"/>
          <w:lang w:val="en-CA" w:eastAsia="zh-TW"/>
        </w:rPr>
      </w:pPr>
    </w:p>
    <w:p w14:paraId="1946ED36" w14:textId="77777777" w:rsidR="004D618E" w:rsidRPr="004D618E" w:rsidRDefault="004D618E" w:rsidP="004D618E">
      <w:pPr>
        <w:widowControl/>
        <w:numPr>
          <w:ilvl w:val="0"/>
          <w:numId w:val="33"/>
        </w:numPr>
        <w:tabs>
          <w:tab w:val="right" w:pos="10080"/>
        </w:tabs>
        <w:autoSpaceDE/>
        <w:autoSpaceDN/>
        <w:ind w:left="284" w:hanging="284"/>
        <w:contextualSpacing/>
        <w:jc w:val="both"/>
        <w:rPr>
          <w:rFonts w:ascii="Arial" w:eastAsia="Times New Roman" w:hAnsi="Arial" w:cs="Arial"/>
          <w:b/>
          <w:bCs/>
          <w:sz w:val="20"/>
          <w:szCs w:val="20"/>
          <w:lang w:val="en-CA" w:eastAsia="zh-TW"/>
        </w:rPr>
      </w:pPr>
      <w:r w:rsidRPr="004D618E">
        <w:rPr>
          <w:rFonts w:ascii="Arial" w:eastAsia="Times New Roman" w:hAnsi="Arial" w:cs="Arial"/>
          <w:b/>
          <w:bCs/>
          <w:sz w:val="20"/>
          <w:szCs w:val="20"/>
          <w:lang w:val="en-CA" w:eastAsia="zh-TW"/>
        </w:rPr>
        <w:t>Warrant exercise</w:t>
      </w:r>
    </w:p>
    <w:p w14:paraId="5106F061" w14:textId="77777777" w:rsidR="004D618E" w:rsidRPr="004D618E" w:rsidRDefault="004D618E" w:rsidP="004D618E">
      <w:pPr>
        <w:widowControl/>
        <w:autoSpaceDE/>
        <w:autoSpaceDN/>
        <w:jc w:val="both"/>
        <w:rPr>
          <w:rFonts w:ascii="Arial" w:eastAsia="Times New Roman" w:hAnsi="Arial" w:cs="Times New Roman"/>
          <w:sz w:val="20"/>
          <w:szCs w:val="24"/>
          <w:lang w:val="en-CA" w:eastAsia="zh-TW"/>
        </w:rPr>
      </w:pPr>
    </w:p>
    <w:p w14:paraId="1240A92F" w14:textId="77777777" w:rsidR="004D618E" w:rsidRPr="004D618E" w:rsidRDefault="004D618E" w:rsidP="004D618E">
      <w:pPr>
        <w:widowControl/>
        <w:autoSpaceDE/>
        <w:autoSpaceDN/>
        <w:jc w:val="both"/>
        <w:rPr>
          <w:rFonts w:ascii="Arial" w:eastAsia="Times New Roman" w:hAnsi="Arial" w:cs="Times New Roman"/>
          <w:sz w:val="20"/>
          <w:szCs w:val="24"/>
          <w:lang w:val="en-CA" w:eastAsia="zh-TW"/>
        </w:rPr>
      </w:pPr>
      <w:r w:rsidRPr="004D618E">
        <w:rPr>
          <w:rFonts w:ascii="Arial" w:eastAsia="Times New Roman" w:hAnsi="Arial" w:cs="Times New Roman"/>
          <w:sz w:val="20"/>
          <w:szCs w:val="24"/>
          <w:lang w:val="en-CA" w:eastAsia="zh-TW"/>
        </w:rPr>
        <w:t xml:space="preserve">The Company had 12,148,019 warrants set to expire on February 6, 2022. 2,102,819 warrants were exercised at an exercise price of $0.60 per warrant for gross proceeds of $1,261,691. The remaining warrants have expired. </w:t>
      </w:r>
    </w:p>
    <w:p w14:paraId="55A731C9" w14:textId="77777777" w:rsidR="004D618E" w:rsidRPr="004D618E" w:rsidRDefault="004D618E" w:rsidP="004D618E">
      <w:pPr>
        <w:widowControl/>
        <w:tabs>
          <w:tab w:val="right" w:pos="10080"/>
        </w:tabs>
        <w:autoSpaceDE/>
        <w:autoSpaceDN/>
        <w:jc w:val="both"/>
        <w:rPr>
          <w:rFonts w:ascii="Arial" w:eastAsia="Times New Roman" w:hAnsi="Arial" w:cs="Arial"/>
          <w:bCs/>
          <w:sz w:val="20"/>
          <w:szCs w:val="20"/>
          <w:lang w:val="en-CA" w:eastAsia="zh-TW"/>
        </w:rPr>
      </w:pPr>
    </w:p>
    <w:p w14:paraId="0A2DD154" w14:textId="77777777" w:rsidR="004D618E" w:rsidRPr="004D618E" w:rsidRDefault="004D618E" w:rsidP="004D618E">
      <w:pPr>
        <w:widowControl/>
        <w:numPr>
          <w:ilvl w:val="0"/>
          <w:numId w:val="33"/>
        </w:numPr>
        <w:tabs>
          <w:tab w:val="right" w:pos="10080"/>
        </w:tabs>
        <w:autoSpaceDE/>
        <w:autoSpaceDN/>
        <w:ind w:left="284" w:hanging="284"/>
        <w:contextualSpacing/>
        <w:jc w:val="both"/>
        <w:rPr>
          <w:rFonts w:ascii="Arial" w:eastAsia="Times New Roman" w:hAnsi="Arial" w:cs="Arial"/>
          <w:b/>
          <w:bCs/>
          <w:sz w:val="20"/>
          <w:szCs w:val="20"/>
          <w:lang w:val="en-CA" w:eastAsia="zh-TW"/>
        </w:rPr>
      </w:pPr>
      <w:r w:rsidRPr="004D618E">
        <w:rPr>
          <w:rFonts w:ascii="Arial" w:eastAsia="Times New Roman" w:hAnsi="Arial" w:cs="Arial"/>
          <w:b/>
          <w:bCs/>
          <w:sz w:val="20"/>
          <w:szCs w:val="20"/>
          <w:lang w:val="en-CA" w:eastAsia="zh-TW"/>
        </w:rPr>
        <w:t>Normal Course Issuer Bid</w:t>
      </w:r>
    </w:p>
    <w:p w14:paraId="1AC426CF" w14:textId="77777777" w:rsidR="004D618E" w:rsidRPr="004D618E" w:rsidRDefault="004D618E" w:rsidP="004D618E">
      <w:pPr>
        <w:widowControl/>
        <w:autoSpaceDE/>
        <w:autoSpaceDN/>
        <w:jc w:val="both"/>
        <w:rPr>
          <w:rFonts w:ascii="Arial" w:eastAsia="Times New Roman" w:hAnsi="Arial" w:cs="Times New Roman"/>
          <w:sz w:val="20"/>
          <w:szCs w:val="24"/>
          <w:lang w:val="en-CA" w:eastAsia="zh-TW"/>
        </w:rPr>
      </w:pPr>
    </w:p>
    <w:p w14:paraId="72119BE0" w14:textId="77777777" w:rsidR="004D618E" w:rsidRPr="004D618E" w:rsidRDefault="004D618E" w:rsidP="004D618E">
      <w:pPr>
        <w:widowControl/>
        <w:autoSpaceDE/>
        <w:autoSpaceDN/>
        <w:jc w:val="both"/>
        <w:rPr>
          <w:rFonts w:ascii="Arial" w:eastAsia="Calibri" w:hAnsi="Arial" w:cs="Arial"/>
          <w:sz w:val="20"/>
          <w:szCs w:val="20"/>
          <w:lang w:val="en-CA"/>
        </w:rPr>
      </w:pPr>
      <w:proofErr w:type="gramStart"/>
      <w:r w:rsidRPr="004D618E">
        <w:rPr>
          <w:rFonts w:ascii="Arial" w:eastAsia="Calibri" w:hAnsi="Arial" w:cs="Arial"/>
          <w:sz w:val="20"/>
          <w:szCs w:val="20"/>
          <w:lang w:val="en-CA"/>
        </w:rPr>
        <w:t>Subsequent to</w:t>
      </w:r>
      <w:proofErr w:type="gramEnd"/>
      <w:r w:rsidRPr="004D618E">
        <w:rPr>
          <w:rFonts w:ascii="Arial" w:eastAsia="Calibri" w:hAnsi="Arial" w:cs="Arial"/>
          <w:sz w:val="20"/>
          <w:szCs w:val="20"/>
          <w:lang w:val="en-CA"/>
        </w:rPr>
        <w:t xml:space="preserve"> the year ended December 31, 2021, the Company purchased for cancellation an additional 323,000 of shares pursuant to its NCIB for a total of $187,245. </w:t>
      </w:r>
    </w:p>
    <w:p w14:paraId="2895E7EC" w14:textId="77777777" w:rsidR="004D618E" w:rsidRPr="004D618E" w:rsidRDefault="004D618E" w:rsidP="004D618E">
      <w:pPr>
        <w:widowControl/>
        <w:autoSpaceDE/>
        <w:autoSpaceDN/>
        <w:jc w:val="both"/>
        <w:rPr>
          <w:rFonts w:ascii="Arial" w:eastAsia="Times New Roman" w:hAnsi="Arial" w:cs="Times New Roman"/>
          <w:sz w:val="20"/>
          <w:szCs w:val="24"/>
          <w:lang w:val="en-CA" w:eastAsia="zh-TW"/>
        </w:rPr>
      </w:pPr>
    </w:p>
    <w:p w14:paraId="19EF12D7" w14:textId="77777777" w:rsidR="004D618E" w:rsidRPr="004D618E" w:rsidRDefault="004D618E" w:rsidP="004D618E">
      <w:pPr>
        <w:widowControl/>
        <w:numPr>
          <w:ilvl w:val="0"/>
          <w:numId w:val="33"/>
        </w:numPr>
        <w:autoSpaceDE/>
        <w:autoSpaceDN/>
        <w:ind w:left="284" w:hanging="284"/>
        <w:contextualSpacing/>
        <w:jc w:val="both"/>
        <w:rPr>
          <w:rFonts w:ascii="Arial" w:eastAsia="Times New Roman" w:hAnsi="Arial" w:cs="Arial"/>
          <w:b/>
          <w:sz w:val="20"/>
          <w:szCs w:val="20"/>
          <w:lang w:val="en-CA"/>
        </w:rPr>
      </w:pPr>
      <w:r w:rsidRPr="004D618E">
        <w:rPr>
          <w:rFonts w:ascii="Arial" w:eastAsia="Times New Roman" w:hAnsi="Arial" w:cs="Arial"/>
          <w:b/>
          <w:sz w:val="20"/>
          <w:szCs w:val="20"/>
          <w:lang w:val="en-CA"/>
        </w:rPr>
        <w:t xml:space="preserve">Acquisition of Hi-Tec Industries Ltd. </w:t>
      </w:r>
    </w:p>
    <w:p w14:paraId="03B28E3D" w14:textId="77777777" w:rsidR="004D618E" w:rsidRPr="004D618E" w:rsidRDefault="004D618E" w:rsidP="004D618E">
      <w:pPr>
        <w:adjustRightInd w:val="0"/>
        <w:jc w:val="both"/>
        <w:rPr>
          <w:rFonts w:ascii="Arial" w:eastAsia="Times New Roman" w:hAnsi="Arial" w:cs="Arial"/>
          <w:bCs/>
          <w:sz w:val="20"/>
          <w:szCs w:val="20"/>
          <w:lang w:val="en-CA" w:eastAsia="zh-TW"/>
        </w:rPr>
      </w:pPr>
    </w:p>
    <w:p w14:paraId="74075C40" w14:textId="77777777" w:rsidR="004D618E" w:rsidRPr="004D618E" w:rsidRDefault="004D618E" w:rsidP="004D618E">
      <w:pPr>
        <w:adjustRightInd w:val="0"/>
        <w:jc w:val="both"/>
        <w:rPr>
          <w:rFonts w:ascii="Arial" w:eastAsia="Times New Roman" w:hAnsi="Arial" w:cs="Arial"/>
          <w:bCs/>
          <w:sz w:val="20"/>
          <w:szCs w:val="20"/>
          <w:lang w:val="en-CA" w:eastAsia="zh-TW"/>
        </w:rPr>
      </w:pPr>
      <w:r w:rsidRPr="004D618E">
        <w:rPr>
          <w:rFonts w:ascii="Arial" w:eastAsia="Times New Roman" w:hAnsi="Arial" w:cs="Arial"/>
          <w:bCs/>
          <w:sz w:val="20"/>
          <w:szCs w:val="20"/>
          <w:lang w:val="en-CA" w:eastAsia="zh-TW"/>
        </w:rPr>
        <w:t xml:space="preserve">On February 28, 2022, the Company completed its acquisition of Hi-Tec Industries Ltd. (“Hi-Tec”) whereby the Company acquired all the issued and outstanding shares of Hi-Tec for $5,800,000 in cash. A working capital adjustment will also be calculated and finalized within 60 days of closing. The Company also purchased the land and buildings for the appraised value of $3,250,000 in cash. Hi-Tec </w:t>
      </w:r>
      <w:proofErr w:type="gramStart"/>
      <w:r w:rsidRPr="004D618E">
        <w:rPr>
          <w:rFonts w:ascii="Arial" w:eastAsia="Times New Roman" w:hAnsi="Arial" w:cs="Arial"/>
          <w:bCs/>
          <w:sz w:val="20"/>
          <w:szCs w:val="20"/>
          <w:lang w:val="en-CA" w:eastAsia="zh-TW"/>
        </w:rPr>
        <w:t>is located in</w:t>
      </w:r>
      <w:proofErr w:type="gramEnd"/>
      <w:r w:rsidRPr="004D618E">
        <w:rPr>
          <w:rFonts w:ascii="Arial" w:eastAsia="Times New Roman" w:hAnsi="Arial" w:cs="Arial"/>
          <w:bCs/>
          <w:sz w:val="20"/>
          <w:szCs w:val="20"/>
          <w:lang w:val="en-CA" w:eastAsia="zh-TW"/>
        </w:rPr>
        <w:t xml:space="preserve"> Lantzville, BC. Hi-Tec, a manufacturer of roof and floor trusses and supplier of engineered wood products aligns with the core business of the Company. </w:t>
      </w:r>
    </w:p>
    <w:p w14:paraId="596AF5E4" w14:textId="77777777" w:rsidR="004D618E" w:rsidRPr="004D618E" w:rsidRDefault="004D618E" w:rsidP="004D618E">
      <w:pPr>
        <w:widowControl/>
        <w:autoSpaceDE/>
        <w:autoSpaceDN/>
        <w:ind w:hanging="360"/>
        <w:jc w:val="both"/>
        <w:rPr>
          <w:rFonts w:ascii="Arial" w:eastAsia="Times New Roman" w:hAnsi="Arial" w:cs="Arial"/>
          <w:b/>
          <w:sz w:val="20"/>
          <w:szCs w:val="20"/>
          <w:lang w:val="en-CA"/>
        </w:rPr>
      </w:pPr>
    </w:p>
    <w:p w14:paraId="7768025E" w14:textId="77777777" w:rsidR="004D618E" w:rsidRPr="004D618E" w:rsidRDefault="004D618E" w:rsidP="004D618E">
      <w:pPr>
        <w:widowControl/>
        <w:tabs>
          <w:tab w:val="left" w:pos="0"/>
        </w:tabs>
        <w:autoSpaceDE/>
        <w:autoSpaceDN/>
        <w:jc w:val="both"/>
        <w:outlineLvl w:val="0"/>
        <w:rPr>
          <w:rFonts w:ascii="Arial" w:eastAsia="Times New Roman" w:hAnsi="Arial" w:cs="Arial"/>
          <w:sz w:val="20"/>
          <w:szCs w:val="20"/>
          <w:lang w:val="en-CA"/>
        </w:rPr>
      </w:pPr>
      <w:r w:rsidRPr="004D618E">
        <w:rPr>
          <w:rFonts w:ascii="Arial" w:eastAsia="Times New Roman" w:hAnsi="Arial" w:cs="Arial"/>
          <w:bCs/>
          <w:sz w:val="20"/>
          <w:szCs w:val="20"/>
          <w:lang w:val="en-CA" w:eastAsia="zh-TW"/>
        </w:rPr>
        <w:t>In accordance with IFRS 3, the Hi-Tec acquisition will be accounted for as a business combination.</w:t>
      </w:r>
      <w:r w:rsidRPr="004D618E">
        <w:rPr>
          <w:rFonts w:ascii="Arial" w:eastAsia="Times New Roman" w:hAnsi="Arial" w:cs="Arial"/>
          <w:sz w:val="20"/>
          <w:szCs w:val="20"/>
          <w:lang w:val="en-CA"/>
        </w:rPr>
        <w:t xml:space="preserve"> Due to the recent nature of the transaction, the PPA calculations are still preliminary and have not been finalized. </w:t>
      </w:r>
    </w:p>
    <w:p w14:paraId="17A9189D" w14:textId="77777777" w:rsidR="006B73FA" w:rsidRPr="006B73FA" w:rsidRDefault="006B73FA" w:rsidP="006B73FA">
      <w:pPr>
        <w:widowControl/>
        <w:tabs>
          <w:tab w:val="left" w:pos="3000"/>
        </w:tabs>
        <w:autoSpaceDE/>
        <w:autoSpaceDN/>
        <w:jc w:val="both"/>
        <w:rPr>
          <w:rFonts w:ascii="Arial" w:eastAsia="Times New Roman" w:hAnsi="Arial" w:cs="Arial"/>
          <w:bCs/>
          <w:sz w:val="20"/>
          <w:szCs w:val="20"/>
          <w:lang w:val="en-CA" w:eastAsia="zh-TW"/>
        </w:rPr>
      </w:pPr>
    </w:p>
    <w:p w14:paraId="62DF9D5E" w14:textId="5FF54999" w:rsidR="0075420D" w:rsidRPr="002A2392" w:rsidRDefault="0075420D" w:rsidP="00ED6D88">
      <w:pPr>
        <w:pStyle w:val="Heading3"/>
        <w:ind w:left="0"/>
        <w:rPr>
          <w:rFonts w:ascii="Arial" w:hAnsi="Arial" w:cs="Arial"/>
          <w:iCs/>
          <w:sz w:val="20"/>
          <w:szCs w:val="20"/>
        </w:rPr>
      </w:pPr>
    </w:p>
    <w:p w14:paraId="7824708C" w14:textId="29267C13" w:rsidR="00387BCA" w:rsidRPr="002A2392" w:rsidRDefault="00387BCA" w:rsidP="00E832FC">
      <w:pPr>
        <w:keepNext/>
        <w:adjustRightInd w:val="0"/>
        <w:jc w:val="both"/>
        <w:rPr>
          <w:rFonts w:ascii="Arial" w:hAnsi="Arial" w:cs="Arial"/>
          <w:b/>
          <w:bCs/>
          <w:sz w:val="20"/>
          <w:szCs w:val="20"/>
        </w:rPr>
      </w:pPr>
      <w:r w:rsidRPr="002A2392">
        <w:rPr>
          <w:rFonts w:ascii="Arial" w:hAnsi="Arial" w:cs="Arial"/>
          <w:b/>
          <w:bCs/>
          <w:noProof/>
          <w:sz w:val="20"/>
          <w:szCs w:val="20"/>
        </w:rPr>
        <mc:AlternateContent>
          <mc:Choice Requires="wps">
            <w:drawing>
              <wp:anchor distT="0" distB="0" distL="114300" distR="114300" simplePos="0" relativeHeight="251689472" behindDoc="0" locked="0" layoutInCell="1" allowOverlap="1" wp14:anchorId="4CD2D81C" wp14:editId="4FB9959E">
                <wp:simplePos x="0" y="0"/>
                <wp:positionH relativeFrom="page">
                  <wp:posOffset>823595</wp:posOffset>
                </wp:positionH>
                <wp:positionV relativeFrom="paragraph">
                  <wp:posOffset>201930</wp:posOffset>
                </wp:positionV>
                <wp:extent cx="6219825" cy="0"/>
                <wp:effectExtent l="13970" t="13970" r="5080" b="5080"/>
                <wp:wrapNone/>
                <wp:docPr id="37"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1F140" id="Line 538" o:spid="_x0000_s1026" style="position:absolute;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85pt,15.9pt" to="554.6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" strokeweight=".48pt">
                <w10:wrap anchorx="page"/>
              </v:line>
            </w:pict>
          </mc:Fallback>
        </mc:AlternateContent>
      </w:r>
      <w:r w:rsidRPr="002A2392">
        <w:rPr>
          <w:rFonts w:ascii="Arial" w:hAnsi="Arial" w:cs="Arial"/>
          <w:b/>
          <w:bCs/>
          <w:noProof/>
          <w:sz w:val="20"/>
          <w:szCs w:val="20"/>
        </w:rPr>
        <w:t>OTHER INFORMATION</w:t>
      </w:r>
    </w:p>
    <w:p w14:paraId="28FEAA2A" w14:textId="77777777" w:rsidR="00387BCA" w:rsidRPr="002A2392" w:rsidRDefault="00387BCA" w:rsidP="00AF4E87">
      <w:pPr>
        <w:keepNext/>
        <w:spacing w:line="218" w:lineRule="auto"/>
        <w:jc w:val="both"/>
        <w:rPr>
          <w:rFonts w:ascii="Arial" w:hAnsi="Arial" w:cs="Arial"/>
          <w:sz w:val="20"/>
          <w:szCs w:val="20"/>
        </w:rPr>
      </w:pPr>
    </w:p>
    <w:p w14:paraId="37A50E91" w14:textId="77777777" w:rsidR="0075420D" w:rsidRPr="002A2392" w:rsidRDefault="0075420D" w:rsidP="00AF4E87">
      <w:pPr>
        <w:keepNext/>
        <w:jc w:val="both"/>
        <w:rPr>
          <w:rFonts w:ascii="Arial" w:hAnsi="Arial" w:cs="Arial"/>
          <w:sz w:val="20"/>
          <w:szCs w:val="20"/>
          <w:lang w:val="en-GB"/>
        </w:rPr>
      </w:pPr>
    </w:p>
    <w:p w14:paraId="522CAE56" w14:textId="77777777" w:rsidR="0075420D" w:rsidRPr="00E3203B" w:rsidRDefault="0075420D" w:rsidP="0075420D">
      <w:pPr>
        <w:keepNext/>
        <w:jc w:val="both"/>
        <w:rPr>
          <w:rFonts w:ascii="Arial" w:hAnsi="Arial" w:cs="Arial"/>
          <w:sz w:val="20"/>
          <w:szCs w:val="20"/>
          <w:lang w:val="en-GB"/>
        </w:rPr>
      </w:pPr>
      <w:r w:rsidRPr="002A2392">
        <w:rPr>
          <w:rFonts w:ascii="Arial" w:hAnsi="Arial" w:cs="Arial"/>
          <w:sz w:val="20"/>
          <w:szCs w:val="20"/>
          <w:lang w:val="en-GB"/>
        </w:rPr>
        <w:t xml:space="preserve">Additional information relating to the Company can be found on SEDAR at </w:t>
      </w:r>
      <w:hyperlink r:id="rId32" w:history="1">
        <w:r w:rsidRPr="002A2392">
          <w:rPr>
            <w:rStyle w:val="Hyperlink"/>
            <w:rFonts w:ascii="Arial" w:hAnsi="Arial" w:cs="Arial"/>
            <w:sz w:val="20"/>
            <w:szCs w:val="20"/>
            <w:lang w:val="en-GB"/>
          </w:rPr>
          <w:t>www.sedar.com</w:t>
        </w:r>
      </w:hyperlink>
      <w:r w:rsidRPr="002A2392">
        <w:rPr>
          <w:rFonts w:ascii="Arial" w:hAnsi="Arial" w:cs="Arial"/>
          <w:sz w:val="20"/>
          <w:szCs w:val="20"/>
          <w:lang w:val="en-GB"/>
        </w:rPr>
        <w:t>.</w:t>
      </w:r>
    </w:p>
    <w:p w14:paraId="1728F508" w14:textId="77777777" w:rsidR="0075420D" w:rsidRPr="00E3203B" w:rsidRDefault="0075420D" w:rsidP="0075420D">
      <w:pPr>
        <w:keepNext/>
        <w:jc w:val="both"/>
        <w:rPr>
          <w:rFonts w:ascii="Arial" w:hAnsi="Arial" w:cs="Arial"/>
          <w:sz w:val="20"/>
          <w:szCs w:val="20"/>
        </w:rPr>
      </w:pPr>
    </w:p>
    <w:p w14:paraId="194CFAF1" w14:textId="77777777" w:rsidR="0075420D" w:rsidRPr="00E3203B" w:rsidRDefault="0075420D" w:rsidP="0075420D">
      <w:pPr>
        <w:pStyle w:val="BodyText"/>
        <w:spacing w:before="8"/>
        <w:rPr>
          <w:rFonts w:ascii="Arial" w:hAnsi="Arial" w:cs="Arial"/>
          <w:sz w:val="20"/>
          <w:szCs w:val="20"/>
        </w:rPr>
      </w:pPr>
    </w:p>
    <w:sectPr w:rsidR="0075420D" w:rsidRPr="00E3203B" w:rsidSect="00FC506A">
      <w:type w:val="continuous"/>
      <w:pgSz w:w="12240" w:h="15840"/>
      <w:pgMar w:top="1440" w:right="1325" w:bottom="1440" w:left="1440" w:header="907" w:footer="52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3C972" w14:textId="77777777" w:rsidR="00BC6AC5" w:rsidRDefault="00BC6AC5">
      <w:r>
        <w:separator/>
      </w:r>
    </w:p>
  </w:endnote>
  <w:endnote w:type="continuationSeparator" w:id="0">
    <w:p w14:paraId="05534000" w14:textId="77777777" w:rsidR="00BC6AC5" w:rsidRDefault="00BC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HelveticaNeue-BoldItalic">
    <w:altName w:val="Sylfaen"/>
    <w:charset w:val="00"/>
    <w:family w:val="auto"/>
    <w:pitch w:val="variable"/>
    <w:sig w:usb0="E50002FF" w:usb1="500079DB" w:usb2="0000101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FAA2" w14:textId="77777777" w:rsidR="00410407" w:rsidRDefault="00410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611015"/>
      <w:docPartObj>
        <w:docPartGallery w:val="Page Numbers (Bottom of Page)"/>
        <w:docPartUnique/>
      </w:docPartObj>
    </w:sdtPr>
    <w:sdtEndPr>
      <w:rPr>
        <w:noProof/>
      </w:rPr>
    </w:sdtEndPr>
    <w:sdtContent>
      <w:p w14:paraId="6D63A9B8" w14:textId="28D01C0B" w:rsidR="00410407" w:rsidRDefault="00410407">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57B00C86" w14:textId="4D6D426D" w:rsidR="00410407" w:rsidRDefault="004104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A8F9" w14:textId="70C9D06F" w:rsidR="00410407" w:rsidRDefault="00410407">
    <w:pPr>
      <w:pStyle w:val="Footer"/>
      <w:jc w:val="right"/>
    </w:pPr>
  </w:p>
  <w:p w14:paraId="3CC30201" w14:textId="77777777" w:rsidR="00410407" w:rsidRDefault="00410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18C7D" w14:textId="77777777" w:rsidR="00BC6AC5" w:rsidRDefault="00BC6AC5">
      <w:r>
        <w:separator/>
      </w:r>
    </w:p>
  </w:footnote>
  <w:footnote w:type="continuationSeparator" w:id="0">
    <w:p w14:paraId="001A3E0F" w14:textId="77777777" w:rsidR="00BC6AC5" w:rsidRDefault="00BC6AC5">
      <w:r>
        <w:continuationSeparator/>
      </w:r>
    </w:p>
  </w:footnote>
  <w:footnote w:id="1">
    <w:p w14:paraId="1B637F9A" w14:textId="4B89A51E" w:rsidR="004961C5" w:rsidRPr="004961C5" w:rsidRDefault="004961C5">
      <w:pPr>
        <w:pStyle w:val="FootnoteText"/>
      </w:pPr>
      <w:r>
        <w:rPr>
          <w:rStyle w:val="FootnoteReference"/>
        </w:rPr>
        <w:footnoteRef/>
      </w:r>
      <w:r w:rsidRPr="004961C5">
        <w:t xml:space="preserve"> </w:t>
      </w:r>
      <w:r w:rsidRPr="004961C5">
        <w:rPr>
          <w:rFonts w:ascii="Arial" w:hAnsi="Arial" w:cs="Arial"/>
          <w:sz w:val="18"/>
          <w:szCs w:val="18"/>
        </w:rPr>
        <w:t>See “Non-IFRS – Non-GAAP Financial Measures</w:t>
      </w:r>
      <w:r>
        <w:rPr>
          <w:rFonts w:ascii="Arial" w:hAnsi="Arial" w:cs="Arial"/>
          <w:sz w:val="18"/>
          <w:szCs w:val="18"/>
        </w:rPr>
        <w:t>”.</w:t>
      </w:r>
    </w:p>
  </w:footnote>
  <w:footnote w:id="2">
    <w:p w14:paraId="22D94966" w14:textId="12759F15" w:rsidR="00F97820" w:rsidRPr="00F97820" w:rsidRDefault="00F97820">
      <w:pPr>
        <w:pStyle w:val="FootnoteText"/>
      </w:pPr>
      <w:r w:rsidRPr="00F97820">
        <w:rPr>
          <w:rStyle w:val="FootnoteReference"/>
          <w:rFonts w:ascii="Arial" w:hAnsi="Arial" w:cs="Arial"/>
          <w:sz w:val="18"/>
          <w:szCs w:val="18"/>
        </w:rPr>
        <w:footnoteRef/>
      </w:r>
      <w:r w:rsidRPr="00F97820">
        <w:rPr>
          <w:rFonts w:ascii="Arial" w:hAnsi="Arial" w:cs="Arial"/>
          <w:sz w:val="18"/>
          <w:szCs w:val="18"/>
        </w:rPr>
        <w:t xml:space="preserve"> </w:t>
      </w:r>
      <w:r w:rsidRPr="004961C5">
        <w:rPr>
          <w:rFonts w:ascii="Arial" w:hAnsi="Arial" w:cs="Arial"/>
          <w:sz w:val="18"/>
          <w:szCs w:val="18"/>
        </w:rPr>
        <w:t>See “Non-IFRS / Non-GAAP Financial Measures</w:t>
      </w:r>
      <w:r w:rsidR="004961C5" w:rsidRPr="004961C5">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ED6B" w14:textId="52A4317A" w:rsidR="00410407" w:rsidRDefault="004104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99BB" w14:textId="000AF66E" w:rsidR="00410407" w:rsidRDefault="004104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E9EB" w14:textId="0581764E" w:rsidR="00410407" w:rsidRDefault="004104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0F66" w14:textId="7640B875" w:rsidR="00410407" w:rsidRDefault="004104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8A12" w14:textId="2BF160B5" w:rsidR="00410407" w:rsidRDefault="00410407">
    <w:pPr>
      <w:pStyle w:val="BodyText"/>
      <w:spacing w:line="14" w:lineRule="auto"/>
      <w:rPr>
        <w:sz w:val="20"/>
      </w:rPr>
    </w:pPr>
    <w:r>
      <w:rPr>
        <w:noProof/>
      </w:rPr>
      <mc:AlternateContent>
        <mc:Choice Requires="wpg">
          <w:drawing>
            <wp:anchor distT="0" distB="0" distL="114300" distR="114300" simplePos="0" relativeHeight="503090720" behindDoc="1" locked="0" layoutInCell="1" allowOverlap="1" wp14:anchorId="54B4A5EC" wp14:editId="314E29B3">
              <wp:simplePos x="0" y="0"/>
              <wp:positionH relativeFrom="page">
                <wp:posOffset>747395</wp:posOffset>
              </wp:positionH>
              <wp:positionV relativeFrom="page">
                <wp:posOffset>731520</wp:posOffset>
              </wp:positionV>
              <wp:extent cx="6277610" cy="208915"/>
              <wp:effectExtent l="13970" t="7620" r="13970" b="12065"/>
              <wp:wrapNone/>
              <wp:docPr id="4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7610" cy="208915"/>
                        <a:chOff x="1177" y="1152"/>
                        <a:chExt cx="9886" cy="329"/>
                      </a:xfrm>
                    </wpg:grpSpPr>
                    <wps:wsp>
                      <wps:cNvPr id="47" name="Rectangle 30"/>
                      <wps:cNvSpPr>
                        <a:spLocks noChangeArrowheads="1"/>
                      </wps:cNvSpPr>
                      <wps:spPr bwMode="auto">
                        <a:xfrm>
                          <a:off x="1186" y="1161"/>
                          <a:ext cx="9867" cy="31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AutoShape 29"/>
                      <wps:cNvSpPr>
                        <a:spLocks/>
                      </wps:cNvSpPr>
                      <wps:spPr bwMode="auto">
                        <a:xfrm>
                          <a:off x="1177" y="1156"/>
                          <a:ext cx="9886" cy="320"/>
                        </a:xfrm>
                        <a:custGeom>
                          <a:avLst/>
                          <a:gdLst>
                            <a:gd name="T0" fmla="+- 0 1177 1177"/>
                            <a:gd name="T1" fmla="*/ T0 w 9886"/>
                            <a:gd name="T2" fmla="+- 0 1157 1157"/>
                            <a:gd name="T3" fmla="*/ 1157 h 320"/>
                            <a:gd name="T4" fmla="+- 0 11063 1177"/>
                            <a:gd name="T5" fmla="*/ T4 w 9886"/>
                            <a:gd name="T6" fmla="+- 0 1157 1157"/>
                            <a:gd name="T7" fmla="*/ 1157 h 320"/>
                            <a:gd name="T8" fmla="+- 0 1177 1177"/>
                            <a:gd name="T9" fmla="*/ T8 w 9886"/>
                            <a:gd name="T10" fmla="+- 0 1476 1157"/>
                            <a:gd name="T11" fmla="*/ 1476 h 320"/>
                            <a:gd name="T12" fmla="+- 0 11063 1177"/>
                            <a:gd name="T13" fmla="*/ T12 w 9886"/>
                            <a:gd name="T14" fmla="+- 0 1476 1157"/>
                            <a:gd name="T15" fmla="*/ 1476 h 320"/>
                          </a:gdLst>
                          <a:ahLst/>
                          <a:cxnLst>
                            <a:cxn ang="0">
                              <a:pos x="T1" y="T3"/>
                            </a:cxn>
                            <a:cxn ang="0">
                              <a:pos x="T5" y="T7"/>
                            </a:cxn>
                            <a:cxn ang="0">
                              <a:pos x="T9" y="T11"/>
                            </a:cxn>
                            <a:cxn ang="0">
                              <a:pos x="T13" y="T15"/>
                            </a:cxn>
                          </a:cxnLst>
                          <a:rect l="0" t="0" r="r" b="b"/>
                          <a:pathLst>
                            <a:path w="9886" h="320">
                              <a:moveTo>
                                <a:pt x="0" y="0"/>
                              </a:moveTo>
                              <a:lnTo>
                                <a:pt x="9886" y="0"/>
                              </a:lnTo>
                              <a:moveTo>
                                <a:pt x="0" y="319"/>
                              </a:moveTo>
                              <a:lnTo>
                                <a:pt x="9886" y="3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28"/>
                      <wps:cNvCnPr>
                        <a:cxnSpLocks noChangeShapeType="1"/>
                      </wps:cNvCnPr>
                      <wps:spPr bwMode="auto">
                        <a:xfrm>
                          <a:off x="1182" y="1152"/>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27"/>
                      <wps:cNvCnPr>
                        <a:cxnSpLocks noChangeShapeType="1"/>
                      </wps:cNvCnPr>
                      <wps:spPr bwMode="auto">
                        <a:xfrm>
                          <a:off x="11058" y="1152"/>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615E26" id="Group 26" o:spid="_x0000_s1026" style="position:absolute;margin-left:58.85pt;margin-top:57.6pt;width:494.3pt;height:16.45pt;z-index:-225760;mso-position-horizontal-relative:page;mso-position-vertical-relative:page" coordorigin="1177,1152" coordsize="988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">
              <v:rect id="Rectangle 30" o:spid="_x0000_s1027" style="position:absolute;left:1186;top:1161;width:9867;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" fillcolor="#7f7f7f" stroked="f"/>
              <v:shape id="AutoShape 29" o:spid="_x0000_s1028" style="position:absolute;left:1177;top:1156;width:9886;height:320;visibility:visible;mso-wrap-style:square;v-text-anchor:top" coordsize="988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" path="m,l9886,m,319r9886,e" filled="f" strokeweight=".48pt">
                <v:path arrowok="t" o:connecttype="custom" o:connectlocs="0,1157;9886,1157;0,1476;9886,1476" o:connectangles="0,0,0,0"/>
              </v:shape>
              <v:line id="Line 28" o:spid="_x0000_s1029" style="position:absolute;visibility:visible;mso-wrap-style:square" from="1182,1152" to="1182,1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27" o:spid="_x0000_s1030" style="position:absolute;visibility:visible;mso-wrap-style:square" from="11058,1152" to="11058,1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w10:wrap anchorx="page" anchory="page"/>
            </v:group>
          </w:pict>
        </mc:Fallback>
      </mc:AlternateContent>
    </w:r>
    <w:r>
      <w:rPr>
        <w:noProof/>
      </w:rPr>
      <mc:AlternateContent>
        <mc:Choice Requires="wps">
          <w:drawing>
            <wp:anchor distT="0" distB="0" distL="114300" distR="114300" simplePos="0" relativeHeight="503090744" behindDoc="1" locked="0" layoutInCell="1" allowOverlap="1" wp14:anchorId="1EA27F23" wp14:editId="5AF423A7">
              <wp:simplePos x="0" y="0"/>
              <wp:positionH relativeFrom="page">
                <wp:posOffset>810260</wp:posOffset>
              </wp:positionH>
              <wp:positionV relativeFrom="page">
                <wp:posOffset>767080</wp:posOffset>
              </wp:positionV>
              <wp:extent cx="2291080" cy="165100"/>
              <wp:effectExtent l="635" t="0" r="3810" b="1270"/>
              <wp:wrapNone/>
              <wp:docPr id="4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A4C22" w14:textId="77777777" w:rsidR="00410407" w:rsidRDefault="00410407">
                          <w:pPr>
                            <w:spacing w:line="236" w:lineRule="exact"/>
                            <w:ind w:left="20"/>
                            <w:rPr>
                              <w:rFonts w:ascii="Helvetica" w:hAnsi="Helvetica"/>
                              <w:b/>
                            </w:rPr>
                          </w:pPr>
                          <w:r>
                            <w:rPr>
                              <w:rFonts w:ascii="Helvetica" w:hAnsi="Helvetica"/>
                              <w:b/>
                              <w:color w:val="FFFFFF"/>
                              <w:w w:val="85"/>
                            </w:rPr>
                            <w:t>Management’s Discussion and Analysis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27F23" id="_x0000_t202" coordsize="21600,21600" o:spt="202" path="m,l,21600r21600,l21600,xe">
              <v:stroke joinstyle="miter"/>
              <v:path gradientshapeok="t" o:connecttype="rect"/>
            </v:shapetype>
            <v:shape id="Text Box 25" o:spid="_x0000_s1026" type="#_x0000_t202" style="position:absolute;margin-left:63.8pt;margin-top:60.4pt;width:180.4pt;height:13pt;z-index:-225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" filled="f" stroked="f">
              <v:textbox inset="0,0,0,0">
                <w:txbxContent>
                  <w:p w14:paraId="6EDA4C22" w14:textId="77777777" w:rsidR="00410407" w:rsidRDefault="00410407">
                    <w:pPr>
                      <w:spacing w:line="236" w:lineRule="exact"/>
                      <w:ind w:left="20"/>
                      <w:rPr>
                        <w:rFonts w:ascii="Helvetica" w:hAnsi="Helvetica"/>
                        <w:b/>
                      </w:rPr>
                    </w:pPr>
                    <w:r>
                      <w:rPr>
                        <w:rFonts w:ascii="Helvetica" w:hAnsi="Helvetica"/>
                        <w:b/>
                        <w:color w:val="FFFFFF"/>
                        <w:w w:val="85"/>
                      </w:rPr>
                      <w:t>Management’s Discussion and Analysis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8CC6" w14:textId="3F9C9D06" w:rsidR="00410407" w:rsidRDefault="004104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A43E" w14:textId="3ACCFBDC" w:rsidR="00410407" w:rsidRDefault="0041040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6126" w14:textId="64E6F106" w:rsidR="00410407" w:rsidRDefault="00410407">
    <w:pPr>
      <w:pStyle w:val="BodyText"/>
      <w:spacing w:line="14" w:lineRule="auto"/>
      <w:rPr>
        <w:sz w:val="20"/>
      </w:rPr>
    </w:pPr>
    <w:r>
      <w:rPr>
        <w:noProof/>
      </w:rPr>
      <mc:AlternateContent>
        <mc:Choice Requires="wpg">
          <w:drawing>
            <wp:anchor distT="0" distB="0" distL="114300" distR="114300" simplePos="0" relativeHeight="503090912" behindDoc="1" locked="0" layoutInCell="1" allowOverlap="1" wp14:anchorId="63089183" wp14:editId="5AC3323E">
              <wp:simplePos x="0" y="0"/>
              <wp:positionH relativeFrom="page">
                <wp:posOffset>765810</wp:posOffset>
              </wp:positionH>
              <wp:positionV relativeFrom="page">
                <wp:posOffset>575945</wp:posOffset>
              </wp:positionV>
              <wp:extent cx="6330950" cy="208915"/>
              <wp:effectExtent l="13335" t="13970" r="8890" b="5715"/>
              <wp:wrapNone/>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0" cy="208915"/>
                        <a:chOff x="1206" y="907"/>
                        <a:chExt cx="9970" cy="329"/>
                      </a:xfrm>
                    </wpg:grpSpPr>
                    <wps:wsp>
                      <wps:cNvPr id="23" name="Rectangle 6"/>
                      <wps:cNvSpPr>
                        <a:spLocks noChangeArrowheads="1"/>
                      </wps:cNvSpPr>
                      <wps:spPr bwMode="auto">
                        <a:xfrm>
                          <a:off x="1215" y="916"/>
                          <a:ext cx="9951" cy="31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5"/>
                      <wps:cNvSpPr>
                        <a:spLocks/>
                      </wps:cNvSpPr>
                      <wps:spPr bwMode="auto">
                        <a:xfrm>
                          <a:off x="1206" y="912"/>
                          <a:ext cx="9970" cy="320"/>
                        </a:xfrm>
                        <a:custGeom>
                          <a:avLst/>
                          <a:gdLst>
                            <a:gd name="T0" fmla="+- 0 1206 1206"/>
                            <a:gd name="T1" fmla="*/ T0 w 9970"/>
                            <a:gd name="T2" fmla="+- 0 912 912"/>
                            <a:gd name="T3" fmla="*/ 912 h 320"/>
                            <a:gd name="T4" fmla="+- 0 11176 1206"/>
                            <a:gd name="T5" fmla="*/ T4 w 9970"/>
                            <a:gd name="T6" fmla="+- 0 912 912"/>
                            <a:gd name="T7" fmla="*/ 912 h 320"/>
                            <a:gd name="T8" fmla="+- 0 1206 1206"/>
                            <a:gd name="T9" fmla="*/ T8 w 9970"/>
                            <a:gd name="T10" fmla="+- 0 1231 912"/>
                            <a:gd name="T11" fmla="*/ 1231 h 320"/>
                            <a:gd name="T12" fmla="+- 0 11176 1206"/>
                            <a:gd name="T13" fmla="*/ T12 w 9970"/>
                            <a:gd name="T14" fmla="+- 0 1231 912"/>
                            <a:gd name="T15" fmla="*/ 1231 h 320"/>
                          </a:gdLst>
                          <a:ahLst/>
                          <a:cxnLst>
                            <a:cxn ang="0">
                              <a:pos x="T1" y="T3"/>
                            </a:cxn>
                            <a:cxn ang="0">
                              <a:pos x="T5" y="T7"/>
                            </a:cxn>
                            <a:cxn ang="0">
                              <a:pos x="T9" y="T11"/>
                            </a:cxn>
                            <a:cxn ang="0">
                              <a:pos x="T13" y="T15"/>
                            </a:cxn>
                          </a:cxnLst>
                          <a:rect l="0" t="0" r="r" b="b"/>
                          <a:pathLst>
                            <a:path w="9970" h="320">
                              <a:moveTo>
                                <a:pt x="0" y="0"/>
                              </a:moveTo>
                              <a:lnTo>
                                <a:pt x="9970" y="0"/>
                              </a:lnTo>
                              <a:moveTo>
                                <a:pt x="0" y="319"/>
                              </a:moveTo>
                              <a:lnTo>
                                <a:pt x="9970" y="3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4"/>
                      <wps:cNvCnPr>
                        <a:cxnSpLocks noChangeShapeType="1"/>
                      </wps:cNvCnPr>
                      <wps:spPr bwMode="auto">
                        <a:xfrm>
                          <a:off x="1211" y="907"/>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3"/>
                      <wps:cNvCnPr>
                        <a:cxnSpLocks noChangeShapeType="1"/>
                      </wps:cNvCnPr>
                      <wps:spPr bwMode="auto">
                        <a:xfrm>
                          <a:off x="11171" y="907"/>
                          <a:ext cx="0" cy="32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0BF41F" id="Group 2" o:spid="_x0000_s1026" style="position:absolute;margin-left:60.3pt;margin-top:45.35pt;width:498.5pt;height:16.45pt;z-index:-225568;mso-position-horizontal-relative:page;mso-position-vertical-relative:page" coordorigin="1206,907" coordsize="9970,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">
              <v:rect id="Rectangle 6" o:spid="_x0000_s1027" style="position:absolute;left:1215;top:916;width:995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" fillcolor="#7f7f7f" stroked="f"/>
              <v:shape id="AutoShape 5" o:spid="_x0000_s1028" style="position:absolute;left:1206;top:912;width:9970;height:320;visibility:visible;mso-wrap-style:square;v-text-anchor:top" coordsize="997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" path="m,l9970,m,319r9970,e" filled="f" strokeweight=".48pt">
                <v:path arrowok="t" o:connecttype="custom" o:connectlocs="0,912;9970,912;0,1231;9970,1231" o:connectangles="0,0,0,0"/>
              </v:shape>
              <v:line id="Line 4" o:spid="_x0000_s1029" style="position:absolute;visibility:visible;mso-wrap-style:square" from="1211,907" to="1211,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3" o:spid="_x0000_s1030" style="position:absolute;visibility:visible;mso-wrap-style:square" from="11171,907" to="11171,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anchorx="page" anchory="page"/>
            </v:group>
          </w:pict>
        </mc:Fallback>
      </mc:AlternateContent>
    </w:r>
    <w:r>
      <w:rPr>
        <w:noProof/>
      </w:rPr>
      <mc:AlternateContent>
        <mc:Choice Requires="wps">
          <w:drawing>
            <wp:anchor distT="0" distB="0" distL="114300" distR="114300" simplePos="0" relativeHeight="503090936" behindDoc="1" locked="0" layoutInCell="1" allowOverlap="1" wp14:anchorId="0D6B64B2" wp14:editId="6C02B0EA">
              <wp:simplePos x="0" y="0"/>
              <wp:positionH relativeFrom="page">
                <wp:posOffset>828675</wp:posOffset>
              </wp:positionH>
              <wp:positionV relativeFrom="page">
                <wp:posOffset>612140</wp:posOffset>
              </wp:positionV>
              <wp:extent cx="2782570" cy="165100"/>
              <wp:effectExtent l="0" t="2540" r="0" b="381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D2B82" w14:textId="77777777" w:rsidR="00410407" w:rsidRPr="0075420D" w:rsidRDefault="00410407">
                          <w:pPr>
                            <w:spacing w:line="236" w:lineRule="exact"/>
                            <w:ind w:left="20"/>
                            <w:rPr>
                              <w:rFonts w:ascii="Helvetica"/>
                              <w:b/>
                              <w:lang w:val="en-CA"/>
                            </w:rPr>
                          </w:pPr>
                          <w:r>
                            <w:rPr>
                              <w:rFonts w:ascii="Helvetica"/>
                              <w:b/>
                              <w:color w:val="FFFFFF"/>
                              <w:w w:val="90"/>
                              <w:lang w:val="en-CA"/>
                            </w:rPr>
                            <w:t>Management</w:t>
                          </w:r>
                          <w:r>
                            <w:rPr>
                              <w:rFonts w:ascii="Helvetica"/>
                              <w:b/>
                              <w:color w:val="FFFFFF"/>
                              <w:w w:val="90"/>
                              <w:lang w:val="en-CA"/>
                            </w:rPr>
                            <w:t>’</w:t>
                          </w:r>
                          <w:r>
                            <w:rPr>
                              <w:rFonts w:ascii="Helvetica"/>
                              <w:b/>
                              <w:color w:val="FFFFFF"/>
                              <w:w w:val="90"/>
                              <w:lang w:val="en-CA"/>
                            </w:rPr>
                            <w:t>s Discussion and Analysis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B64B2" id="_x0000_t202" coordsize="21600,21600" o:spt="202" path="m,l,21600r21600,l21600,xe">
              <v:stroke joinstyle="miter"/>
              <v:path gradientshapeok="t" o:connecttype="rect"/>
            </v:shapetype>
            <v:shape id="Text Box 1" o:spid="_x0000_s1027" type="#_x0000_t202" style="position:absolute;margin-left:65.25pt;margin-top:48.2pt;width:219.1pt;height:13pt;z-index:-225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" filled="f" stroked="f">
              <v:textbox inset="0,0,0,0">
                <w:txbxContent>
                  <w:p w14:paraId="068D2B82" w14:textId="77777777" w:rsidR="00410407" w:rsidRPr="0075420D" w:rsidRDefault="00410407">
                    <w:pPr>
                      <w:spacing w:line="236" w:lineRule="exact"/>
                      <w:ind w:left="20"/>
                      <w:rPr>
                        <w:rFonts w:ascii="Helvetica"/>
                        <w:b/>
                        <w:lang w:val="en-CA"/>
                      </w:rPr>
                    </w:pPr>
                    <w:r>
                      <w:rPr>
                        <w:rFonts w:ascii="Helvetica"/>
                        <w:b/>
                        <w:color w:val="FFFFFF"/>
                        <w:w w:val="90"/>
                        <w:lang w:val="en-CA"/>
                      </w:rPr>
                      <w:t>Management</w:t>
                    </w:r>
                    <w:r>
                      <w:rPr>
                        <w:rFonts w:ascii="Helvetica"/>
                        <w:b/>
                        <w:color w:val="FFFFFF"/>
                        <w:w w:val="90"/>
                        <w:lang w:val="en-CA"/>
                      </w:rPr>
                      <w:t>’</w:t>
                    </w:r>
                    <w:r>
                      <w:rPr>
                        <w:rFonts w:ascii="Helvetica"/>
                        <w:b/>
                        <w:color w:val="FFFFFF"/>
                        <w:w w:val="90"/>
                        <w:lang w:val="en-CA"/>
                      </w:rPr>
                      <w:t>s Discussion and Analysis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2BB45" w14:textId="6617D180" w:rsidR="00410407" w:rsidRDefault="00410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DCE5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6C073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EC6D4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E68D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80039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FC51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FE65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421F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A309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9AD4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97462"/>
    <w:multiLevelType w:val="hybridMultilevel"/>
    <w:tmpl w:val="6F3014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BD17342"/>
    <w:multiLevelType w:val="hybridMultilevel"/>
    <w:tmpl w:val="9628065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16A30AE"/>
    <w:multiLevelType w:val="hybridMultilevel"/>
    <w:tmpl w:val="947A98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21569DA"/>
    <w:multiLevelType w:val="hybridMultilevel"/>
    <w:tmpl w:val="58B6B6A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2864AB9"/>
    <w:multiLevelType w:val="hybridMultilevel"/>
    <w:tmpl w:val="5B6CBE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7891A5F"/>
    <w:multiLevelType w:val="hybridMultilevel"/>
    <w:tmpl w:val="BDDE81D8"/>
    <w:lvl w:ilvl="0" w:tplc="9DBCD37A">
      <w:numFmt w:val="bullet"/>
      <w:lvlText w:val="•"/>
      <w:lvlJc w:val="left"/>
      <w:pPr>
        <w:ind w:left="1199" w:hanging="360"/>
      </w:pPr>
      <w:rPr>
        <w:rFonts w:ascii="Arial" w:eastAsia="Arial" w:hAnsi="Arial" w:cs="Arial" w:hint="default"/>
        <w:w w:val="131"/>
        <w:sz w:val="20"/>
        <w:szCs w:val="20"/>
      </w:rPr>
    </w:lvl>
    <w:lvl w:ilvl="1" w:tplc="6FD6C932">
      <w:numFmt w:val="bullet"/>
      <w:lvlText w:val="•"/>
      <w:lvlJc w:val="left"/>
      <w:pPr>
        <w:ind w:left="2148" w:hanging="360"/>
      </w:pPr>
      <w:rPr>
        <w:rFonts w:hint="default"/>
      </w:rPr>
    </w:lvl>
    <w:lvl w:ilvl="2" w:tplc="03460384">
      <w:numFmt w:val="bullet"/>
      <w:lvlText w:val="•"/>
      <w:lvlJc w:val="left"/>
      <w:pPr>
        <w:ind w:left="3096" w:hanging="360"/>
      </w:pPr>
      <w:rPr>
        <w:rFonts w:hint="default"/>
      </w:rPr>
    </w:lvl>
    <w:lvl w:ilvl="3" w:tplc="267E1A7A">
      <w:numFmt w:val="bullet"/>
      <w:lvlText w:val="•"/>
      <w:lvlJc w:val="left"/>
      <w:pPr>
        <w:ind w:left="4044" w:hanging="360"/>
      </w:pPr>
      <w:rPr>
        <w:rFonts w:hint="default"/>
      </w:rPr>
    </w:lvl>
    <w:lvl w:ilvl="4" w:tplc="413278EC">
      <w:numFmt w:val="bullet"/>
      <w:lvlText w:val="•"/>
      <w:lvlJc w:val="left"/>
      <w:pPr>
        <w:ind w:left="4992" w:hanging="360"/>
      </w:pPr>
      <w:rPr>
        <w:rFonts w:hint="default"/>
      </w:rPr>
    </w:lvl>
    <w:lvl w:ilvl="5" w:tplc="6C7A0C6E">
      <w:numFmt w:val="bullet"/>
      <w:lvlText w:val="•"/>
      <w:lvlJc w:val="left"/>
      <w:pPr>
        <w:ind w:left="5940" w:hanging="360"/>
      </w:pPr>
      <w:rPr>
        <w:rFonts w:hint="default"/>
      </w:rPr>
    </w:lvl>
    <w:lvl w:ilvl="6" w:tplc="26A00AB0">
      <w:numFmt w:val="bullet"/>
      <w:lvlText w:val="•"/>
      <w:lvlJc w:val="left"/>
      <w:pPr>
        <w:ind w:left="6888" w:hanging="360"/>
      </w:pPr>
      <w:rPr>
        <w:rFonts w:hint="default"/>
      </w:rPr>
    </w:lvl>
    <w:lvl w:ilvl="7" w:tplc="75A82858">
      <w:numFmt w:val="bullet"/>
      <w:lvlText w:val="•"/>
      <w:lvlJc w:val="left"/>
      <w:pPr>
        <w:ind w:left="7836" w:hanging="360"/>
      </w:pPr>
      <w:rPr>
        <w:rFonts w:hint="default"/>
      </w:rPr>
    </w:lvl>
    <w:lvl w:ilvl="8" w:tplc="335E0DDA">
      <w:numFmt w:val="bullet"/>
      <w:lvlText w:val="•"/>
      <w:lvlJc w:val="left"/>
      <w:pPr>
        <w:ind w:left="8784" w:hanging="360"/>
      </w:pPr>
      <w:rPr>
        <w:rFonts w:hint="default"/>
      </w:rPr>
    </w:lvl>
  </w:abstractNum>
  <w:abstractNum w:abstractNumId="16" w15:restartNumberingAfterBreak="0">
    <w:nsid w:val="19481D13"/>
    <w:multiLevelType w:val="hybridMultilevel"/>
    <w:tmpl w:val="257E9DD4"/>
    <w:lvl w:ilvl="0" w:tplc="AE9E7C3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EB24CFF"/>
    <w:multiLevelType w:val="hybridMultilevel"/>
    <w:tmpl w:val="03821306"/>
    <w:lvl w:ilvl="0" w:tplc="E2F8FF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8DD560B"/>
    <w:multiLevelType w:val="hybridMultilevel"/>
    <w:tmpl w:val="7BD4EF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8E21D24"/>
    <w:multiLevelType w:val="hybridMultilevel"/>
    <w:tmpl w:val="3DB0F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F6285B"/>
    <w:multiLevelType w:val="hybridMultilevel"/>
    <w:tmpl w:val="56569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B1509A6"/>
    <w:multiLevelType w:val="hybridMultilevel"/>
    <w:tmpl w:val="3D5200C2"/>
    <w:lvl w:ilvl="0" w:tplc="9DBCD37A">
      <w:numFmt w:val="bullet"/>
      <w:lvlText w:val="•"/>
      <w:lvlJc w:val="left"/>
      <w:pPr>
        <w:ind w:left="360" w:hanging="360"/>
      </w:pPr>
      <w:rPr>
        <w:rFonts w:ascii="Arial" w:eastAsia="Arial" w:hAnsi="Arial" w:cs="Arial" w:hint="default"/>
        <w:w w:val="131"/>
        <w:sz w:val="20"/>
        <w:szCs w:val="20"/>
      </w:rPr>
    </w:lvl>
    <w:lvl w:ilvl="1" w:tplc="10090003">
      <w:start w:val="1"/>
      <w:numFmt w:val="bullet"/>
      <w:lvlText w:val="o"/>
      <w:lvlJc w:val="left"/>
      <w:pPr>
        <w:ind w:left="601" w:hanging="360"/>
      </w:pPr>
      <w:rPr>
        <w:rFonts w:ascii="Courier New" w:hAnsi="Courier New" w:cs="Courier New" w:hint="default"/>
      </w:rPr>
    </w:lvl>
    <w:lvl w:ilvl="2" w:tplc="10090005" w:tentative="1">
      <w:start w:val="1"/>
      <w:numFmt w:val="bullet"/>
      <w:lvlText w:val=""/>
      <w:lvlJc w:val="left"/>
      <w:pPr>
        <w:ind w:left="1321" w:hanging="360"/>
      </w:pPr>
      <w:rPr>
        <w:rFonts w:ascii="Wingdings" w:hAnsi="Wingdings" w:hint="default"/>
      </w:rPr>
    </w:lvl>
    <w:lvl w:ilvl="3" w:tplc="10090001" w:tentative="1">
      <w:start w:val="1"/>
      <w:numFmt w:val="bullet"/>
      <w:lvlText w:val=""/>
      <w:lvlJc w:val="left"/>
      <w:pPr>
        <w:ind w:left="2041" w:hanging="360"/>
      </w:pPr>
      <w:rPr>
        <w:rFonts w:ascii="Symbol" w:hAnsi="Symbol" w:hint="default"/>
      </w:rPr>
    </w:lvl>
    <w:lvl w:ilvl="4" w:tplc="10090003" w:tentative="1">
      <w:start w:val="1"/>
      <w:numFmt w:val="bullet"/>
      <w:lvlText w:val="o"/>
      <w:lvlJc w:val="left"/>
      <w:pPr>
        <w:ind w:left="2761" w:hanging="360"/>
      </w:pPr>
      <w:rPr>
        <w:rFonts w:ascii="Courier New" w:hAnsi="Courier New" w:cs="Courier New" w:hint="default"/>
      </w:rPr>
    </w:lvl>
    <w:lvl w:ilvl="5" w:tplc="10090005" w:tentative="1">
      <w:start w:val="1"/>
      <w:numFmt w:val="bullet"/>
      <w:lvlText w:val=""/>
      <w:lvlJc w:val="left"/>
      <w:pPr>
        <w:ind w:left="3481" w:hanging="360"/>
      </w:pPr>
      <w:rPr>
        <w:rFonts w:ascii="Wingdings" w:hAnsi="Wingdings" w:hint="default"/>
      </w:rPr>
    </w:lvl>
    <w:lvl w:ilvl="6" w:tplc="10090001" w:tentative="1">
      <w:start w:val="1"/>
      <w:numFmt w:val="bullet"/>
      <w:lvlText w:val=""/>
      <w:lvlJc w:val="left"/>
      <w:pPr>
        <w:ind w:left="4201" w:hanging="360"/>
      </w:pPr>
      <w:rPr>
        <w:rFonts w:ascii="Symbol" w:hAnsi="Symbol" w:hint="default"/>
      </w:rPr>
    </w:lvl>
    <w:lvl w:ilvl="7" w:tplc="10090003" w:tentative="1">
      <w:start w:val="1"/>
      <w:numFmt w:val="bullet"/>
      <w:lvlText w:val="o"/>
      <w:lvlJc w:val="left"/>
      <w:pPr>
        <w:ind w:left="4921" w:hanging="360"/>
      </w:pPr>
      <w:rPr>
        <w:rFonts w:ascii="Courier New" w:hAnsi="Courier New" w:cs="Courier New" w:hint="default"/>
      </w:rPr>
    </w:lvl>
    <w:lvl w:ilvl="8" w:tplc="10090005" w:tentative="1">
      <w:start w:val="1"/>
      <w:numFmt w:val="bullet"/>
      <w:lvlText w:val=""/>
      <w:lvlJc w:val="left"/>
      <w:pPr>
        <w:ind w:left="5641" w:hanging="360"/>
      </w:pPr>
      <w:rPr>
        <w:rFonts w:ascii="Wingdings" w:hAnsi="Wingdings" w:hint="default"/>
      </w:rPr>
    </w:lvl>
  </w:abstractNum>
  <w:abstractNum w:abstractNumId="22" w15:restartNumberingAfterBreak="0">
    <w:nsid w:val="329822B6"/>
    <w:multiLevelType w:val="hybridMultilevel"/>
    <w:tmpl w:val="B42813E6"/>
    <w:lvl w:ilvl="0" w:tplc="A644EB76">
      <w:start w:val="1"/>
      <w:numFmt w:val="decimal"/>
      <w:lvlText w:val="(%1)"/>
      <w:lvlJc w:val="left"/>
      <w:pPr>
        <w:ind w:left="360" w:hanging="360"/>
      </w:pPr>
      <w:rPr>
        <w:rFonts w:hint="default"/>
        <w:b w:val="0"/>
        <w:vertAlign w:val="superscrip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32B050FD"/>
    <w:multiLevelType w:val="hybridMultilevel"/>
    <w:tmpl w:val="A0123F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348348F3"/>
    <w:multiLevelType w:val="hybridMultilevel"/>
    <w:tmpl w:val="A9A4ABBC"/>
    <w:lvl w:ilvl="0" w:tplc="40EC04C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9617890"/>
    <w:multiLevelType w:val="multilevel"/>
    <w:tmpl w:val="662403EE"/>
    <w:lvl w:ilvl="0">
      <w:start w:val="1"/>
      <w:numFmt w:val="decimal"/>
      <w:pStyle w:val="Par1"/>
      <w:lvlText w:val="%1"/>
      <w:lvlJc w:val="left"/>
      <w:pPr>
        <w:tabs>
          <w:tab w:val="num" w:pos="432"/>
        </w:tabs>
        <w:ind w:left="432" w:hanging="432"/>
      </w:pPr>
      <w:rPr>
        <w:rFonts w:cs="Times New Roman" w:hint="default"/>
      </w:rPr>
    </w:lvl>
    <w:lvl w:ilvl="1">
      <w:start w:val="5"/>
      <w:numFmt w:val="lowerLetter"/>
      <w:pStyle w:val="Par2"/>
      <w:lvlText w:val="%2)"/>
      <w:lvlJc w:val="left"/>
      <w:pPr>
        <w:tabs>
          <w:tab w:val="num" w:pos="972"/>
        </w:tabs>
        <w:ind w:left="972" w:hanging="432"/>
      </w:pPr>
      <w:rPr>
        <w:rFonts w:cs="Times New Roman" w:hint="default"/>
        <w:sz w:val="22"/>
        <w:szCs w:val="22"/>
      </w:rPr>
    </w:lvl>
    <w:lvl w:ilvl="2">
      <w:start w:val="1"/>
      <w:numFmt w:val="lowerRoman"/>
      <w:pStyle w:val="Par3"/>
      <w:lvlText w:val="%3)"/>
      <w:lvlJc w:val="left"/>
      <w:pPr>
        <w:tabs>
          <w:tab w:val="num" w:pos="1296"/>
        </w:tabs>
        <w:ind w:left="1296" w:hanging="432"/>
      </w:pPr>
      <w:rPr>
        <w:rFonts w:cs="Times New Roman" w:hint="default"/>
      </w:rPr>
    </w:lvl>
    <w:lvl w:ilvl="3">
      <w:start w:val="1"/>
      <w:numFmt w:val="decimal"/>
      <w:lvlText w:val="(%4)"/>
      <w:lvlJc w:val="left"/>
      <w:pPr>
        <w:tabs>
          <w:tab w:val="num" w:pos="1872"/>
        </w:tabs>
        <w:ind w:left="1872" w:hanging="360"/>
      </w:pPr>
      <w:rPr>
        <w:rFonts w:cs="Times New Roman" w:hint="default"/>
      </w:rPr>
    </w:lvl>
    <w:lvl w:ilvl="4">
      <w:start w:val="1"/>
      <w:numFmt w:val="lowerLetter"/>
      <w:lvlText w:val="(%5)"/>
      <w:lvlJc w:val="left"/>
      <w:pPr>
        <w:tabs>
          <w:tab w:val="num" w:pos="2232"/>
        </w:tabs>
        <w:ind w:left="2232" w:hanging="360"/>
      </w:pPr>
      <w:rPr>
        <w:rFonts w:cs="Times New Roman" w:hint="default"/>
      </w:rPr>
    </w:lvl>
    <w:lvl w:ilvl="5">
      <w:start w:val="1"/>
      <w:numFmt w:val="lowerRoman"/>
      <w:lvlText w:val="(%6)"/>
      <w:lvlJc w:val="left"/>
      <w:pPr>
        <w:tabs>
          <w:tab w:val="num" w:pos="2592"/>
        </w:tabs>
        <w:ind w:left="2592" w:hanging="360"/>
      </w:pPr>
      <w:rPr>
        <w:rFonts w:cs="Times New Roman" w:hint="default"/>
      </w:rPr>
    </w:lvl>
    <w:lvl w:ilvl="6">
      <w:start w:val="1"/>
      <w:numFmt w:val="decimal"/>
      <w:lvlText w:val="%7."/>
      <w:lvlJc w:val="left"/>
      <w:pPr>
        <w:tabs>
          <w:tab w:val="num" w:pos="2952"/>
        </w:tabs>
        <w:ind w:left="2952" w:hanging="360"/>
      </w:pPr>
      <w:rPr>
        <w:rFonts w:cs="Times New Roman" w:hint="default"/>
      </w:rPr>
    </w:lvl>
    <w:lvl w:ilvl="7">
      <w:start w:val="1"/>
      <w:numFmt w:val="lowerLetter"/>
      <w:lvlText w:val="%8."/>
      <w:lvlJc w:val="left"/>
      <w:pPr>
        <w:tabs>
          <w:tab w:val="num" w:pos="3312"/>
        </w:tabs>
        <w:ind w:left="3312" w:hanging="360"/>
      </w:pPr>
      <w:rPr>
        <w:rFonts w:cs="Times New Roman" w:hint="default"/>
      </w:rPr>
    </w:lvl>
    <w:lvl w:ilvl="8">
      <w:start w:val="1"/>
      <w:numFmt w:val="lowerRoman"/>
      <w:lvlText w:val="%9."/>
      <w:lvlJc w:val="left"/>
      <w:pPr>
        <w:tabs>
          <w:tab w:val="num" w:pos="3672"/>
        </w:tabs>
        <w:ind w:left="3672" w:hanging="360"/>
      </w:pPr>
      <w:rPr>
        <w:rFonts w:cs="Times New Roman" w:hint="default"/>
      </w:rPr>
    </w:lvl>
  </w:abstractNum>
  <w:abstractNum w:abstractNumId="26" w15:restartNumberingAfterBreak="0">
    <w:nsid w:val="3A564635"/>
    <w:multiLevelType w:val="hybridMultilevel"/>
    <w:tmpl w:val="80DE6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46111C9"/>
    <w:multiLevelType w:val="hybridMultilevel"/>
    <w:tmpl w:val="E6BECDAC"/>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28" w15:restartNumberingAfterBreak="0">
    <w:nsid w:val="4D2844BC"/>
    <w:multiLevelType w:val="hybridMultilevel"/>
    <w:tmpl w:val="149E4520"/>
    <w:lvl w:ilvl="0" w:tplc="E2F8FF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38314EA"/>
    <w:multiLevelType w:val="hybridMultilevel"/>
    <w:tmpl w:val="FCB0B720"/>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3CA2F94"/>
    <w:multiLevelType w:val="hybridMultilevel"/>
    <w:tmpl w:val="2BEE8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54B52E6"/>
    <w:multiLevelType w:val="hybridMultilevel"/>
    <w:tmpl w:val="F70067F8"/>
    <w:lvl w:ilvl="0" w:tplc="9DBCD37A">
      <w:numFmt w:val="bullet"/>
      <w:lvlText w:val="•"/>
      <w:lvlJc w:val="left"/>
      <w:pPr>
        <w:ind w:left="720" w:hanging="360"/>
      </w:pPr>
      <w:rPr>
        <w:rFonts w:ascii="Arial" w:eastAsia="Arial" w:hAnsi="Arial" w:cs="Arial" w:hint="default"/>
        <w:w w:val="131"/>
        <w:sz w:val="20"/>
        <w:szCs w:val="20"/>
      </w:rPr>
    </w:lvl>
    <w:lvl w:ilvl="1" w:tplc="10090003">
      <w:start w:val="1"/>
      <w:numFmt w:val="bullet"/>
      <w:lvlText w:val="o"/>
      <w:lvlJc w:val="left"/>
      <w:pPr>
        <w:ind w:left="961" w:hanging="360"/>
      </w:pPr>
      <w:rPr>
        <w:rFonts w:ascii="Courier New" w:hAnsi="Courier New" w:cs="Courier New" w:hint="default"/>
      </w:rPr>
    </w:lvl>
    <w:lvl w:ilvl="2" w:tplc="10090005">
      <w:start w:val="1"/>
      <w:numFmt w:val="bullet"/>
      <w:lvlText w:val=""/>
      <w:lvlJc w:val="left"/>
      <w:pPr>
        <w:ind w:left="1681" w:hanging="360"/>
      </w:pPr>
      <w:rPr>
        <w:rFonts w:ascii="Wingdings" w:hAnsi="Wingdings" w:hint="default"/>
      </w:rPr>
    </w:lvl>
    <w:lvl w:ilvl="3" w:tplc="10090001" w:tentative="1">
      <w:start w:val="1"/>
      <w:numFmt w:val="bullet"/>
      <w:lvlText w:val=""/>
      <w:lvlJc w:val="left"/>
      <w:pPr>
        <w:ind w:left="2401" w:hanging="360"/>
      </w:pPr>
      <w:rPr>
        <w:rFonts w:ascii="Symbol" w:hAnsi="Symbol" w:hint="default"/>
      </w:rPr>
    </w:lvl>
    <w:lvl w:ilvl="4" w:tplc="10090003" w:tentative="1">
      <w:start w:val="1"/>
      <w:numFmt w:val="bullet"/>
      <w:lvlText w:val="o"/>
      <w:lvlJc w:val="left"/>
      <w:pPr>
        <w:ind w:left="3121" w:hanging="360"/>
      </w:pPr>
      <w:rPr>
        <w:rFonts w:ascii="Courier New" w:hAnsi="Courier New" w:cs="Courier New" w:hint="default"/>
      </w:rPr>
    </w:lvl>
    <w:lvl w:ilvl="5" w:tplc="10090005" w:tentative="1">
      <w:start w:val="1"/>
      <w:numFmt w:val="bullet"/>
      <w:lvlText w:val=""/>
      <w:lvlJc w:val="left"/>
      <w:pPr>
        <w:ind w:left="3841" w:hanging="360"/>
      </w:pPr>
      <w:rPr>
        <w:rFonts w:ascii="Wingdings" w:hAnsi="Wingdings" w:hint="default"/>
      </w:rPr>
    </w:lvl>
    <w:lvl w:ilvl="6" w:tplc="10090001" w:tentative="1">
      <w:start w:val="1"/>
      <w:numFmt w:val="bullet"/>
      <w:lvlText w:val=""/>
      <w:lvlJc w:val="left"/>
      <w:pPr>
        <w:ind w:left="4561" w:hanging="360"/>
      </w:pPr>
      <w:rPr>
        <w:rFonts w:ascii="Symbol" w:hAnsi="Symbol" w:hint="default"/>
      </w:rPr>
    </w:lvl>
    <w:lvl w:ilvl="7" w:tplc="10090003" w:tentative="1">
      <w:start w:val="1"/>
      <w:numFmt w:val="bullet"/>
      <w:lvlText w:val="o"/>
      <w:lvlJc w:val="left"/>
      <w:pPr>
        <w:ind w:left="5281" w:hanging="360"/>
      </w:pPr>
      <w:rPr>
        <w:rFonts w:ascii="Courier New" w:hAnsi="Courier New" w:cs="Courier New" w:hint="default"/>
      </w:rPr>
    </w:lvl>
    <w:lvl w:ilvl="8" w:tplc="10090005" w:tentative="1">
      <w:start w:val="1"/>
      <w:numFmt w:val="bullet"/>
      <w:lvlText w:val=""/>
      <w:lvlJc w:val="left"/>
      <w:pPr>
        <w:ind w:left="6001" w:hanging="360"/>
      </w:pPr>
      <w:rPr>
        <w:rFonts w:ascii="Wingdings" w:hAnsi="Wingdings" w:hint="default"/>
      </w:rPr>
    </w:lvl>
  </w:abstractNum>
  <w:abstractNum w:abstractNumId="32" w15:restartNumberingAfterBreak="0">
    <w:nsid w:val="6981427C"/>
    <w:multiLevelType w:val="hybridMultilevel"/>
    <w:tmpl w:val="0D9EC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BA0244"/>
    <w:multiLevelType w:val="hybridMultilevel"/>
    <w:tmpl w:val="38A8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13F2D"/>
    <w:multiLevelType w:val="hybridMultilevel"/>
    <w:tmpl w:val="BB261E1A"/>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4CD3D91"/>
    <w:multiLevelType w:val="hybridMultilevel"/>
    <w:tmpl w:val="B1744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848317D"/>
    <w:multiLevelType w:val="hybridMultilevel"/>
    <w:tmpl w:val="67C215A6"/>
    <w:lvl w:ilvl="0" w:tplc="9DBCD37A">
      <w:numFmt w:val="bullet"/>
      <w:lvlText w:val="•"/>
      <w:lvlJc w:val="left"/>
      <w:pPr>
        <w:ind w:left="1199" w:hanging="360"/>
      </w:pPr>
      <w:rPr>
        <w:rFonts w:ascii="Arial" w:eastAsia="Arial" w:hAnsi="Arial" w:cs="Arial" w:hint="default"/>
        <w:w w:val="131"/>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F6D48BE"/>
    <w:multiLevelType w:val="hybridMultilevel"/>
    <w:tmpl w:val="C3D8BE8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20323332">
    <w:abstractNumId w:val="15"/>
  </w:num>
  <w:num w:numId="2" w16cid:durableId="1650211678">
    <w:abstractNumId w:val="35"/>
  </w:num>
  <w:num w:numId="3" w16cid:durableId="388236752">
    <w:abstractNumId w:val="34"/>
  </w:num>
  <w:num w:numId="4" w16cid:durableId="303052272">
    <w:abstractNumId w:val="29"/>
  </w:num>
  <w:num w:numId="5" w16cid:durableId="1544443854">
    <w:abstractNumId w:val="10"/>
  </w:num>
  <w:num w:numId="6" w16cid:durableId="550920478">
    <w:abstractNumId w:val="21"/>
  </w:num>
  <w:num w:numId="7" w16cid:durableId="804275207">
    <w:abstractNumId w:val="9"/>
  </w:num>
  <w:num w:numId="8" w16cid:durableId="569537507">
    <w:abstractNumId w:val="7"/>
  </w:num>
  <w:num w:numId="9" w16cid:durableId="509293129">
    <w:abstractNumId w:val="6"/>
  </w:num>
  <w:num w:numId="10" w16cid:durableId="810560219">
    <w:abstractNumId w:val="5"/>
  </w:num>
  <w:num w:numId="11" w16cid:durableId="1547260599">
    <w:abstractNumId w:val="4"/>
  </w:num>
  <w:num w:numId="12" w16cid:durableId="1425609652">
    <w:abstractNumId w:val="8"/>
  </w:num>
  <w:num w:numId="13" w16cid:durableId="788549830">
    <w:abstractNumId w:val="3"/>
  </w:num>
  <w:num w:numId="14" w16cid:durableId="51580299">
    <w:abstractNumId w:val="2"/>
  </w:num>
  <w:num w:numId="15" w16cid:durableId="913246684">
    <w:abstractNumId w:val="1"/>
  </w:num>
  <w:num w:numId="16" w16cid:durableId="377556634">
    <w:abstractNumId w:val="0"/>
  </w:num>
  <w:num w:numId="17" w16cid:durableId="215818431">
    <w:abstractNumId w:val="25"/>
  </w:num>
  <w:num w:numId="18" w16cid:durableId="64190394">
    <w:abstractNumId w:val="22"/>
  </w:num>
  <w:num w:numId="19" w16cid:durableId="618416825">
    <w:abstractNumId w:val="20"/>
  </w:num>
  <w:num w:numId="20" w16cid:durableId="912396104">
    <w:abstractNumId w:val="24"/>
  </w:num>
  <w:num w:numId="21" w16cid:durableId="856653041">
    <w:abstractNumId w:val="37"/>
  </w:num>
  <w:num w:numId="22" w16cid:durableId="1157647496">
    <w:abstractNumId w:val="36"/>
  </w:num>
  <w:num w:numId="23" w16cid:durableId="1972710316">
    <w:abstractNumId w:val="31"/>
  </w:num>
  <w:num w:numId="24" w16cid:durableId="148329219">
    <w:abstractNumId w:val="33"/>
  </w:num>
  <w:num w:numId="25" w16cid:durableId="840899674">
    <w:abstractNumId w:val="35"/>
  </w:num>
  <w:num w:numId="26" w16cid:durableId="619923590">
    <w:abstractNumId w:val="19"/>
  </w:num>
  <w:num w:numId="27" w16cid:durableId="558595612">
    <w:abstractNumId w:val="14"/>
  </w:num>
  <w:num w:numId="28" w16cid:durableId="1759255040">
    <w:abstractNumId w:val="23"/>
  </w:num>
  <w:num w:numId="29" w16cid:durableId="1703361632">
    <w:abstractNumId w:val="26"/>
  </w:num>
  <w:num w:numId="30" w16cid:durableId="24520807">
    <w:abstractNumId w:val="32"/>
  </w:num>
  <w:num w:numId="31" w16cid:durableId="272252998">
    <w:abstractNumId w:val="30"/>
  </w:num>
  <w:num w:numId="32" w16cid:durableId="54666110">
    <w:abstractNumId w:val="11"/>
  </w:num>
  <w:num w:numId="33" w16cid:durableId="850023542">
    <w:abstractNumId w:val="28"/>
  </w:num>
  <w:num w:numId="34" w16cid:durableId="1776051063">
    <w:abstractNumId w:val="13"/>
  </w:num>
  <w:num w:numId="35" w16cid:durableId="1127620935">
    <w:abstractNumId w:val="27"/>
  </w:num>
  <w:num w:numId="36" w16cid:durableId="201476711">
    <w:abstractNumId w:val="17"/>
  </w:num>
  <w:num w:numId="37" w16cid:durableId="715936106">
    <w:abstractNumId w:val="12"/>
  </w:num>
  <w:num w:numId="38" w16cid:durableId="603533825">
    <w:abstractNumId w:val="18"/>
  </w:num>
  <w:num w:numId="39" w16cid:durableId="109636594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E97"/>
    <w:rsid w:val="000009CE"/>
    <w:rsid w:val="0000366E"/>
    <w:rsid w:val="00004090"/>
    <w:rsid w:val="000052F4"/>
    <w:rsid w:val="00010CCC"/>
    <w:rsid w:val="00013674"/>
    <w:rsid w:val="00013FC3"/>
    <w:rsid w:val="00015E23"/>
    <w:rsid w:val="000174D5"/>
    <w:rsid w:val="00017920"/>
    <w:rsid w:val="00025369"/>
    <w:rsid w:val="00025BE5"/>
    <w:rsid w:val="00026625"/>
    <w:rsid w:val="00031D22"/>
    <w:rsid w:val="00032B3F"/>
    <w:rsid w:val="00036CC3"/>
    <w:rsid w:val="00041827"/>
    <w:rsid w:val="0004204A"/>
    <w:rsid w:val="000445A0"/>
    <w:rsid w:val="000459D5"/>
    <w:rsid w:val="00051C9A"/>
    <w:rsid w:val="00052475"/>
    <w:rsid w:val="000614C4"/>
    <w:rsid w:val="00061A25"/>
    <w:rsid w:val="00062725"/>
    <w:rsid w:val="000627B1"/>
    <w:rsid w:val="00062D35"/>
    <w:rsid w:val="00063323"/>
    <w:rsid w:val="000674F4"/>
    <w:rsid w:val="00067551"/>
    <w:rsid w:val="00067670"/>
    <w:rsid w:val="000752D8"/>
    <w:rsid w:val="00075A50"/>
    <w:rsid w:val="00084E04"/>
    <w:rsid w:val="00086E50"/>
    <w:rsid w:val="00090D0A"/>
    <w:rsid w:val="000941E1"/>
    <w:rsid w:val="0009499C"/>
    <w:rsid w:val="00095680"/>
    <w:rsid w:val="000961F7"/>
    <w:rsid w:val="00096E21"/>
    <w:rsid w:val="000A2414"/>
    <w:rsid w:val="000A3C24"/>
    <w:rsid w:val="000A538D"/>
    <w:rsid w:val="000A77F4"/>
    <w:rsid w:val="000B1E2D"/>
    <w:rsid w:val="000B3FB2"/>
    <w:rsid w:val="000B404E"/>
    <w:rsid w:val="000B4901"/>
    <w:rsid w:val="000B6955"/>
    <w:rsid w:val="000B71EF"/>
    <w:rsid w:val="000B72B0"/>
    <w:rsid w:val="000B7FE6"/>
    <w:rsid w:val="000C0802"/>
    <w:rsid w:val="000C41CF"/>
    <w:rsid w:val="000C4FF0"/>
    <w:rsid w:val="000C5C44"/>
    <w:rsid w:val="000C6504"/>
    <w:rsid w:val="000C66BF"/>
    <w:rsid w:val="000C7D11"/>
    <w:rsid w:val="000D1A80"/>
    <w:rsid w:val="000D2000"/>
    <w:rsid w:val="000E1817"/>
    <w:rsid w:val="000E247F"/>
    <w:rsid w:val="000E27A9"/>
    <w:rsid w:val="000E5988"/>
    <w:rsid w:val="000E772A"/>
    <w:rsid w:val="000F0DA7"/>
    <w:rsid w:val="000F3E57"/>
    <w:rsid w:val="000F533B"/>
    <w:rsid w:val="000F5415"/>
    <w:rsid w:val="000F6C50"/>
    <w:rsid w:val="000F754D"/>
    <w:rsid w:val="001016A2"/>
    <w:rsid w:val="00102399"/>
    <w:rsid w:val="00102760"/>
    <w:rsid w:val="0010438F"/>
    <w:rsid w:val="001060F9"/>
    <w:rsid w:val="00106E1B"/>
    <w:rsid w:val="00107ACF"/>
    <w:rsid w:val="00107E8A"/>
    <w:rsid w:val="00107F86"/>
    <w:rsid w:val="00110F31"/>
    <w:rsid w:val="00114452"/>
    <w:rsid w:val="00114D2F"/>
    <w:rsid w:val="001176DC"/>
    <w:rsid w:val="00120123"/>
    <w:rsid w:val="00120497"/>
    <w:rsid w:val="001205AF"/>
    <w:rsid w:val="00122EA1"/>
    <w:rsid w:val="00127788"/>
    <w:rsid w:val="0013029D"/>
    <w:rsid w:val="00130540"/>
    <w:rsid w:val="001343D2"/>
    <w:rsid w:val="00134EDE"/>
    <w:rsid w:val="00135000"/>
    <w:rsid w:val="00136E9E"/>
    <w:rsid w:val="001371C0"/>
    <w:rsid w:val="00142896"/>
    <w:rsid w:val="00144350"/>
    <w:rsid w:val="00152DEE"/>
    <w:rsid w:val="0015357B"/>
    <w:rsid w:val="00153CEE"/>
    <w:rsid w:val="00154BE5"/>
    <w:rsid w:val="00156E85"/>
    <w:rsid w:val="00160401"/>
    <w:rsid w:val="0016220E"/>
    <w:rsid w:val="001623AF"/>
    <w:rsid w:val="00163785"/>
    <w:rsid w:val="001672D2"/>
    <w:rsid w:val="001728ED"/>
    <w:rsid w:val="00174742"/>
    <w:rsid w:val="00175FC5"/>
    <w:rsid w:val="00175FDD"/>
    <w:rsid w:val="00177340"/>
    <w:rsid w:val="001815C9"/>
    <w:rsid w:val="00182319"/>
    <w:rsid w:val="001850D0"/>
    <w:rsid w:val="00185D67"/>
    <w:rsid w:val="00186485"/>
    <w:rsid w:val="00187079"/>
    <w:rsid w:val="001877F6"/>
    <w:rsid w:val="00192A6A"/>
    <w:rsid w:val="001931A5"/>
    <w:rsid w:val="0019418E"/>
    <w:rsid w:val="0019437A"/>
    <w:rsid w:val="001968C6"/>
    <w:rsid w:val="001969DC"/>
    <w:rsid w:val="001A2C5D"/>
    <w:rsid w:val="001A659F"/>
    <w:rsid w:val="001A715C"/>
    <w:rsid w:val="001B00FE"/>
    <w:rsid w:val="001B0BD4"/>
    <w:rsid w:val="001B11A4"/>
    <w:rsid w:val="001B13B8"/>
    <w:rsid w:val="001B1A27"/>
    <w:rsid w:val="001B475E"/>
    <w:rsid w:val="001B4F80"/>
    <w:rsid w:val="001C00EC"/>
    <w:rsid w:val="001C2E42"/>
    <w:rsid w:val="001C3633"/>
    <w:rsid w:val="001C425B"/>
    <w:rsid w:val="001C56B2"/>
    <w:rsid w:val="001C7193"/>
    <w:rsid w:val="001D0AA7"/>
    <w:rsid w:val="001D0B34"/>
    <w:rsid w:val="001D1C33"/>
    <w:rsid w:val="001D3FBD"/>
    <w:rsid w:val="001D4719"/>
    <w:rsid w:val="001D593A"/>
    <w:rsid w:val="001D66C6"/>
    <w:rsid w:val="001E08DE"/>
    <w:rsid w:val="001E2587"/>
    <w:rsid w:val="001E3C51"/>
    <w:rsid w:val="001E505D"/>
    <w:rsid w:val="001E7178"/>
    <w:rsid w:val="001F6B6F"/>
    <w:rsid w:val="001F75FC"/>
    <w:rsid w:val="00201039"/>
    <w:rsid w:val="002031AA"/>
    <w:rsid w:val="0020471A"/>
    <w:rsid w:val="00206800"/>
    <w:rsid w:val="00207BF1"/>
    <w:rsid w:val="00212D05"/>
    <w:rsid w:val="002134B6"/>
    <w:rsid w:val="002144E8"/>
    <w:rsid w:val="0021746C"/>
    <w:rsid w:val="00220A03"/>
    <w:rsid w:val="00221AF3"/>
    <w:rsid w:val="00224684"/>
    <w:rsid w:val="00225B8E"/>
    <w:rsid w:val="00225E2E"/>
    <w:rsid w:val="00226441"/>
    <w:rsid w:val="00227219"/>
    <w:rsid w:val="002275D7"/>
    <w:rsid w:val="00230C8C"/>
    <w:rsid w:val="00231A61"/>
    <w:rsid w:val="0023581D"/>
    <w:rsid w:val="00235FAD"/>
    <w:rsid w:val="00240B85"/>
    <w:rsid w:val="00240E63"/>
    <w:rsid w:val="00243AAE"/>
    <w:rsid w:val="002456C2"/>
    <w:rsid w:val="00251B68"/>
    <w:rsid w:val="002557BB"/>
    <w:rsid w:val="00257646"/>
    <w:rsid w:val="002600CD"/>
    <w:rsid w:val="002645DE"/>
    <w:rsid w:val="00265A37"/>
    <w:rsid w:val="00271B27"/>
    <w:rsid w:val="002750BE"/>
    <w:rsid w:val="002807DE"/>
    <w:rsid w:val="002871A6"/>
    <w:rsid w:val="0029194C"/>
    <w:rsid w:val="00291AEE"/>
    <w:rsid w:val="00292B88"/>
    <w:rsid w:val="00295CCD"/>
    <w:rsid w:val="002A11CC"/>
    <w:rsid w:val="002A2392"/>
    <w:rsid w:val="002A29AC"/>
    <w:rsid w:val="002A2BFB"/>
    <w:rsid w:val="002A4D81"/>
    <w:rsid w:val="002A55A9"/>
    <w:rsid w:val="002A587A"/>
    <w:rsid w:val="002B07B3"/>
    <w:rsid w:val="002B3941"/>
    <w:rsid w:val="002B4DEC"/>
    <w:rsid w:val="002C0813"/>
    <w:rsid w:val="002C1ADA"/>
    <w:rsid w:val="002C1D16"/>
    <w:rsid w:val="002D2251"/>
    <w:rsid w:val="002D2316"/>
    <w:rsid w:val="002D5733"/>
    <w:rsid w:val="002D5C23"/>
    <w:rsid w:val="002D6DD2"/>
    <w:rsid w:val="002E06DB"/>
    <w:rsid w:val="002E27DB"/>
    <w:rsid w:val="002E395B"/>
    <w:rsid w:val="002E74E7"/>
    <w:rsid w:val="002F1489"/>
    <w:rsid w:val="002F61A7"/>
    <w:rsid w:val="002F63FF"/>
    <w:rsid w:val="002F64F4"/>
    <w:rsid w:val="00304D28"/>
    <w:rsid w:val="00307308"/>
    <w:rsid w:val="003106A3"/>
    <w:rsid w:val="00315873"/>
    <w:rsid w:val="00316BCB"/>
    <w:rsid w:val="00321C2D"/>
    <w:rsid w:val="0032313C"/>
    <w:rsid w:val="003231C0"/>
    <w:rsid w:val="0032511C"/>
    <w:rsid w:val="003258EC"/>
    <w:rsid w:val="003277AE"/>
    <w:rsid w:val="00333942"/>
    <w:rsid w:val="00333E64"/>
    <w:rsid w:val="00336372"/>
    <w:rsid w:val="003365EC"/>
    <w:rsid w:val="00342E20"/>
    <w:rsid w:val="00343F09"/>
    <w:rsid w:val="00347322"/>
    <w:rsid w:val="0035212B"/>
    <w:rsid w:val="00355CF0"/>
    <w:rsid w:val="00360979"/>
    <w:rsid w:val="00361F89"/>
    <w:rsid w:val="003640B3"/>
    <w:rsid w:val="003651A1"/>
    <w:rsid w:val="0036684D"/>
    <w:rsid w:val="00367667"/>
    <w:rsid w:val="003715E4"/>
    <w:rsid w:val="00372C3C"/>
    <w:rsid w:val="003772F8"/>
    <w:rsid w:val="0037773D"/>
    <w:rsid w:val="00380803"/>
    <w:rsid w:val="00381853"/>
    <w:rsid w:val="00382A08"/>
    <w:rsid w:val="0038301E"/>
    <w:rsid w:val="003851B9"/>
    <w:rsid w:val="003877FD"/>
    <w:rsid w:val="00387863"/>
    <w:rsid w:val="00387BCA"/>
    <w:rsid w:val="003902AB"/>
    <w:rsid w:val="0039371D"/>
    <w:rsid w:val="00393C8E"/>
    <w:rsid w:val="003940B4"/>
    <w:rsid w:val="00395B59"/>
    <w:rsid w:val="00395CBD"/>
    <w:rsid w:val="003A1AF0"/>
    <w:rsid w:val="003A49A6"/>
    <w:rsid w:val="003A5801"/>
    <w:rsid w:val="003A67C7"/>
    <w:rsid w:val="003A793F"/>
    <w:rsid w:val="003B10C0"/>
    <w:rsid w:val="003B12C4"/>
    <w:rsid w:val="003B3D1F"/>
    <w:rsid w:val="003B44F6"/>
    <w:rsid w:val="003B6D92"/>
    <w:rsid w:val="003C0491"/>
    <w:rsid w:val="003C0ABD"/>
    <w:rsid w:val="003C1A45"/>
    <w:rsid w:val="003C2713"/>
    <w:rsid w:val="003C332B"/>
    <w:rsid w:val="003C48BE"/>
    <w:rsid w:val="003C6DF5"/>
    <w:rsid w:val="003C7EAD"/>
    <w:rsid w:val="003D0295"/>
    <w:rsid w:val="003D09F2"/>
    <w:rsid w:val="003D2703"/>
    <w:rsid w:val="003D2F58"/>
    <w:rsid w:val="003D41DE"/>
    <w:rsid w:val="003D46D8"/>
    <w:rsid w:val="003D758F"/>
    <w:rsid w:val="003E3EF2"/>
    <w:rsid w:val="003E6093"/>
    <w:rsid w:val="003E6178"/>
    <w:rsid w:val="003F3166"/>
    <w:rsid w:val="003F48A0"/>
    <w:rsid w:val="003F79E4"/>
    <w:rsid w:val="003F7B8B"/>
    <w:rsid w:val="00402945"/>
    <w:rsid w:val="00403390"/>
    <w:rsid w:val="00405073"/>
    <w:rsid w:val="004059AF"/>
    <w:rsid w:val="00410407"/>
    <w:rsid w:val="00410505"/>
    <w:rsid w:val="00411025"/>
    <w:rsid w:val="004110BC"/>
    <w:rsid w:val="00411C28"/>
    <w:rsid w:val="00413F25"/>
    <w:rsid w:val="00414216"/>
    <w:rsid w:val="00414516"/>
    <w:rsid w:val="00415C7C"/>
    <w:rsid w:val="00420672"/>
    <w:rsid w:val="00423196"/>
    <w:rsid w:val="0042566F"/>
    <w:rsid w:val="0042692D"/>
    <w:rsid w:val="004274FE"/>
    <w:rsid w:val="00427AC1"/>
    <w:rsid w:val="00431114"/>
    <w:rsid w:val="00434CB2"/>
    <w:rsid w:val="00440591"/>
    <w:rsid w:val="00444615"/>
    <w:rsid w:val="0044477E"/>
    <w:rsid w:val="0044660E"/>
    <w:rsid w:val="00446E5B"/>
    <w:rsid w:val="00447FFD"/>
    <w:rsid w:val="00450289"/>
    <w:rsid w:val="00450764"/>
    <w:rsid w:val="00452DAC"/>
    <w:rsid w:val="00453EB0"/>
    <w:rsid w:val="00454A4A"/>
    <w:rsid w:val="004648FC"/>
    <w:rsid w:val="00464CB1"/>
    <w:rsid w:val="004713C7"/>
    <w:rsid w:val="00471F2F"/>
    <w:rsid w:val="00472910"/>
    <w:rsid w:val="00476272"/>
    <w:rsid w:val="004776C8"/>
    <w:rsid w:val="0048066A"/>
    <w:rsid w:val="0048066C"/>
    <w:rsid w:val="004823B7"/>
    <w:rsid w:val="00482655"/>
    <w:rsid w:val="00482D93"/>
    <w:rsid w:val="00482EBB"/>
    <w:rsid w:val="00483DE8"/>
    <w:rsid w:val="00485508"/>
    <w:rsid w:val="00485DA9"/>
    <w:rsid w:val="004864E4"/>
    <w:rsid w:val="004916A3"/>
    <w:rsid w:val="00491F05"/>
    <w:rsid w:val="00492036"/>
    <w:rsid w:val="00492476"/>
    <w:rsid w:val="00492919"/>
    <w:rsid w:val="00493327"/>
    <w:rsid w:val="00495E49"/>
    <w:rsid w:val="004961C5"/>
    <w:rsid w:val="004A152D"/>
    <w:rsid w:val="004A43C4"/>
    <w:rsid w:val="004A511E"/>
    <w:rsid w:val="004A66A2"/>
    <w:rsid w:val="004A6B8F"/>
    <w:rsid w:val="004A7551"/>
    <w:rsid w:val="004B1BC0"/>
    <w:rsid w:val="004B3882"/>
    <w:rsid w:val="004B6966"/>
    <w:rsid w:val="004B6F55"/>
    <w:rsid w:val="004B749D"/>
    <w:rsid w:val="004B7764"/>
    <w:rsid w:val="004C24E0"/>
    <w:rsid w:val="004C2510"/>
    <w:rsid w:val="004C3EAA"/>
    <w:rsid w:val="004C6B1E"/>
    <w:rsid w:val="004D5CCE"/>
    <w:rsid w:val="004D618E"/>
    <w:rsid w:val="004E0EBF"/>
    <w:rsid w:val="004E103A"/>
    <w:rsid w:val="004E5B3A"/>
    <w:rsid w:val="004E639E"/>
    <w:rsid w:val="004F2CA5"/>
    <w:rsid w:val="004F4FF0"/>
    <w:rsid w:val="004F596A"/>
    <w:rsid w:val="005030D5"/>
    <w:rsid w:val="00503121"/>
    <w:rsid w:val="005045A0"/>
    <w:rsid w:val="00504974"/>
    <w:rsid w:val="00512A47"/>
    <w:rsid w:val="00513C7C"/>
    <w:rsid w:val="00515477"/>
    <w:rsid w:val="005165C5"/>
    <w:rsid w:val="005203C7"/>
    <w:rsid w:val="00520A7E"/>
    <w:rsid w:val="005212FF"/>
    <w:rsid w:val="00524273"/>
    <w:rsid w:val="005246A5"/>
    <w:rsid w:val="0052519E"/>
    <w:rsid w:val="00526A64"/>
    <w:rsid w:val="00526D93"/>
    <w:rsid w:val="005279BA"/>
    <w:rsid w:val="00530F68"/>
    <w:rsid w:val="00532BA8"/>
    <w:rsid w:val="00532F6E"/>
    <w:rsid w:val="005335A7"/>
    <w:rsid w:val="00535061"/>
    <w:rsid w:val="00536BD6"/>
    <w:rsid w:val="00537166"/>
    <w:rsid w:val="0053788C"/>
    <w:rsid w:val="00541D87"/>
    <w:rsid w:val="0054282B"/>
    <w:rsid w:val="00543480"/>
    <w:rsid w:val="00545E08"/>
    <w:rsid w:val="00547089"/>
    <w:rsid w:val="00547834"/>
    <w:rsid w:val="00552733"/>
    <w:rsid w:val="00552EAE"/>
    <w:rsid w:val="00554393"/>
    <w:rsid w:val="00554A19"/>
    <w:rsid w:val="00555506"/>
    <w:rsid w:val="00560160"/>
    <w:rsid w:val="0056038A"/>
    <w:rsid w:val="005604E8"/>
    <w:rsid w:val="00564AFC"/>
    <w:rsid w:val="00565595"/>
    <w:rsid w:val="00570229"/>
    <w:rsid w:val="00575033"/>
    <w:rsid w:val="00575336"/>
    <w:rsid w:val="0057569C"/>
    <w:rsid w:val="00577A8C"/>
    <w:rsid w:val="00580A0D"/>
    <w:rsid w:val="005819DA"/>
    <w:rsid w:val="00587E61"/>
    <w:rsid w:val="00593DFA"/>
    <w:rsid w:val="00594BC8"/>
    <w:rsid w:val="005951C2"/>
    <w:rsid w:val="0059683F"/>
    <w:rsid w:val="005A0E32"/>
    <w:rsid w:val="005A33A0"/>
    <w:rsid w:val="005A36CA"/>
    <w:rsid w:val="005A3E54"/>
    <w:rsid w:val="005A4FF2"/>
    <w:rsid w:val="005A5C4E"/>
    <w:rsid w:val="005A7248"/>
    <w:rsid w:val="005A79B5"/>
    <w:rsid w:val="005B4532"/>
    <w:rsid w:val="005B5477"/>
    <w:rsid w:val="005B5885"/>
    <w:rsid w:val="005B7174"/>
    <w:rsid w:val="005C2972"/>
    <w:rsid w:val="005C2F89"/>
    <w:rsid w:val="005C32B4"/>
    <w:rsid w:val="005C36CA"/>
    <w:rsid w:val="005C3A3F"/>
    <w:rsid w:val="005C5539"/>
    <w:rsid w:val="005D1D67"/>
    <w:rsid w:val="005D2C9E"/>
    <w:rsid w:val="005D4F91"/>
    <w:rsid w:val="005D55A5"/>
    <w:rsid w:val="005D798A"/>
    <w:rsid w:val="005D7EE0"/>
    <w:rsid w:val="005E0C28"/>
    <w:rsid w:val="005E2502"/>
    <w:rsid w:val="005E675C"/>
    <w:rsid w:val="005E6CFA"/>
    <w:rsid w:val="005E74FB"/>
    <w:rsid w:val="005F1E5E"/>
    <w:rsid w:val="005F3EFA"/>
    <w:rsid w:val="005F4253"/>
    <w:rsid w:val="005F4D04"/>
    <w:rsid w:val="005F7FE1"/>
    <w:rsid w:val="00602F1D"/>
    <w:rsid w:val="00603601"/>
    <w:rsid w:val="00605CCF"/>
    <w:rsid w:val="00605E1D"/>
    <w:rsid w:val="00610808"/>
    <w:rsid w:val="00610924"/>
    <w:rsid w:val="006126E8"/>
    <w:rsid w:val="00613D93"/>
    <w:rsid w:val="00614C4B"/>
    <w:rsid w:val="00614CDF"/>
    <w:rsid w:val="00620715"/>
    <w:rsid w:val="0062150F"/>
    <w:rsid w:val="006225D9"/>
    <w:rsid w:val="00623D64"/>
    <w:rsid w:val="006242C8"/>
    <w:rsid w:val="00624B21"/>
    <w:rsid w:val="00626EE4"/>
    <w:rsid w:val="00636F57"/>
    <w:rsid w:val="006429D3"/>
    <w:rsid w:val="00643604"/>
    <w:rsid w:val="006503F3"/>
    <w:rsid w:val="006506EE"/>
    <w:rsid w:val="00653F66"/>
    <w:rsid w:val="006553AA"/>
    <w:rsid w:val="00657602"/>
    <w:rsid w:val="00657671"/>
    <w:rsid w:val="006615C5"/>
    <w:rsid w:val="00661995"/>
    <w:rsid w:val="006641C3"/>
    <w:rsid w:val="00666122"/>
    <w:rsid w:val="00667B4D"/>
    <w:rsid w:val="0067045B"/>
    <w:rsid w:val="006711E2"/>
    <w:rsid w:val="0067209A"/>
    <w:rsid w:val="00672B1B"/>
    <w:rsid w:val="00673ED5"/>
    <w:rsid w:val="00674284"/>
    <w:rsid w:val="006756C6"/>
    <w:rsid w:val="00675F8D"/>
    <w:rsid w:val="006800A9"/>
    <w:rsid w:val="00681082"/>
    <w:rsid w:val="006815CE"/>
    <w:rsid w:val="006856FA"/>
    <w:rsid w:val="00686B4F"/>
    <w:rsid w:val="00695141"/>
    <w:rsid w:val="00696044"/>
    <w:rsid w:val="0069685C"/>
    <w:rsid w:val="006A2CA3"/>
    <w:rsid w:val="006A5DE0"/>
    <w:rsid w:val="006A673B"/>
    <w:rsid w:val="006B14B6"/>
    <w:rsid w:val="006B212E"/>
    <w:rsid w:val="006B2BBD"/>
    <w:rsid w:val="006B4574"/>
    <w:rsid w:val="006B56C2"/>
    <w:rsid w:val="006B5810"/>
    <w:rsid w:val="006B6B53"/>
    <w:rsid w:val="006B73FA"/>
    <w:rsid w:val="006C045B"/>
    <w:rsid w:val="006C138A"/>
    <w:rsid w:val="006C1DE4"/>
    <w:rsid w:val="006C575F"/>
    <w:rsid w:val="006C7378"/>
    <w:rsid w:val="006D0C92"/>
    <w:rsid w:val="006D2209"/>
    <w:rsid w:val="006D5025"/>
    <w:rsid w:val="006D721E"/>
    <w:rsid w:val="006E01C4"/>
    <w:rsid w:val="006E28D0"/>
    <w:rsid w:val="006E5C00"/>
    <w:rsid w:val="006E606B"/>
    <w:rsid w:val="006E7AB5"/>
    <w:rsid w:val="006F0606"/>
    <w:rsid w:val="006F2B47"/>
    <w:rsid w:val="006F365B"/>
    <w:rsid w:val="006F7AD9"/>
    <w:rsid w:val="00700F0D"/>
    <w:rsid w:val="007023F7"/>
    <w:rsid w:val="007024AD"/>
    <w:rsid w:val="00705E97"/>
    <w:rsid w:val="00705F21"/>
    <w:rsid w:val="00706364"/>
    <w:rsid w:val="00707748"/>
    <w:rsid w:val="00711E55"/>
    <w:rsid w:val="00712271"/>
    <w:rsid w:val="00712586"/>
    <w:rsid w:val="00713961"/>
    <w:rsid w:val="00714285"/>
    <w:rsid w:val="0071775F"/>
    <w:rsid w:val="00720322"/>
    <w:rsid w:val="007204E9"/>
    <w:rsid w:val="00722054"/>
    <w:rsid w:val="007239C4"/>
    <w:rsid w:val="0072481F"/>
    <w:rsid w:val="00724EF8"/>
    <w:rsid w:val="00726EF8"/>
    <w:rsid w:val="00730426"/>
    <w:rsid w:val="00731D6F"/>
    <w:rsid w:val="00735D63"/>
    <w:rsid w:val="0073636A"/>
    <w:rsid w:val="00737226"/>
    <w:rsid w:val="00737F87"/>
    <w:rsid w:val="0074240B"/>
    <w:rsid w:val="00744E0A"/>
    <w:rsid w:val="0074683A"/>
    <w:rsid w:val="00746CE5"/>
    <w:rsid w:val="00747E30"/>
    <w:rsid w:val="0075420D"/>
    <w:rsid w:val="00755289"/>
    <w:rsid w:val="0075770F"/>
    <w:rsid w:val="00765BD2"/>
    <w:rsid w:val="0077285B"/>
    <w:rsid w:val="0077411D"/>
    <w:rsid w:val="00774F8E"/>
    <w:rsid w:val="00776016"/>
    <w:rsid w:val="00776110"/>
    <w:rsid w:val="00776400"/>
    <w:rsid w:val="00776BF7"/>
    <w:rsid w:val="007804DE"/>
    <w:rsid w:val="00780F73"/>
    <w:rsid w:val="0078257A"/>
    <w:rsid w:val="007842EA"/>
    <w:rsid w:val="0078736C"/>
    <w:rsid w:val="007920BF"/>
    <w:rsid w:val="00792738"/>
    <w:rsid w:val="00794906"/>
    <w:rsid w:val="00795B67"/>
    <w:rsid w:val="007968CA"/>
    <w:rsid w:val="007A3090"/>
    <w:rsid w:val="007A5525"/>
    <w:rsid w:val="007A6F0D"/>
    <w:rsid w:val="007A733C"/>
    <w:rsid w:val="007B0081"/>
    <w:rsid w:val="007B2085"/>
    <w:rsid w:val="007B3B94"/>
    <w:rsid w:val="007B7C90"/>
    <w:rsid w:val="007C09D4"/>
    <w:rsid w:val="007C27FB"/>
    <w:rsid w:val="007C29D9"/>
    <w:rsid w:val="007C309E"/>
    <w:rsid w:val="007C32F3"/>
    <w:rsid w:val="007C7BA5"/>
    <w:rsid w:val="007D1868"/>
    <w:rsid w:val="007D41E1"/>
    <w:rsid w:val="007D4305"/>
    <w:rsid w:val="007D54A5"/>
    <w:rsid w:val="007D5A23"/>
    <w:rsid w:val="007E1BF3"/>
    <w:rsid w:val="007E35E2"/>
    <w:rsid w:val="007E45EC"/>
    <w:rsid w:val="007F0BDD"/>
    <w:rsid w:val="007F1603"/>
    <w:rsid w:val="007F1A0A"/>
    <w:rsid w:val="007F24BB"/>
    <w:rsid w:val="007F330A"/>
    <w:rsid w:val="007F38A4"/>
    <w:rsid w:val="007F79F5"/>
    <w:rsid w:val="00802106"/>
    <w:rsid w:val="00810506"/>
    <w:rsid w:val="00812BE7"/>
    <w:rsid w:val="008135C2"/>
    <w:rsid w:val="00815ADE"/>
    <w:rsid w:val="00815D8A"/>
    <w:rsid w:val="00816DD6"/>
    <w:rsid w:val="00821F11"/>
    <w:rsid w:val="008220EE"/>
    <w:rsid w:val="00822D25"/>
    <w:rsid w:val="00823845"/>
    <w:rsid w:val="00824AA1"/>
    <w:rsid w:val="0083039A"/>
    <w:rsid w:val="0083052D"/>
    <w:rsid w:val="0083495B"/>
    <w:rsid w:val="00836E7D"/>
    <w:rsid w:val="008378AE"/>
    <w:rsid w:val="0084132B"/>
    <w:rsid w:val="00841893"/>
    <w:rsid w:val="0084347D"/>
    <w:rsid w:val="00843514"/>
    <w:rsid w:val="0084412D"/>
    <w:rsid w:val="00844A9C"/>
    <w:rsid w:val="008459F1"/>
    <w:rsid w:val="008463FE"/>
    <w:rsid w:val="008520C6"/>
    <w:rsid w:val="00853827"/>
    <w:rsid w:val="008542BB"/>
    <w:rsid w:val="008545EC"/>
    <w:rsid w:val="008558DE"/>
    <w:rsid w:val="0086314A"/>
    <w:rsid w:val="008646AF"/>
    <w:rsid w:val="00866F6C"/>
    <w:rsid w:val="008670E2"/>
    <w:rsid w:val="0087364A"/>
    <w:rsid w:val="00874690"/>
    <w:rsid w:val="00877C49"/>
    <w:rsid w:val="00880A5A"/>
    <w:rsid w:val="00881775"/>
    <w:rsid w:val="00882FC9"/>
    <w:rsid w:val="00883C78"/>
    <w:rsid w:val="00884809"/>
    <w:rsid w:val="00884FB2"/>
    <w:rsid w:val="00886431"/>
    <w:rsid w:val="008902CC"/>
    <w:rsid w:val="00892119"/>
    <w:rsid w:val="00894013"/>
    <w:rsid w:val="00895907"/>
    <w:rsid w:val="008959DA"/>
    <w:rsid w:val="0089617F"/>
    <w:rsid w:val="00897099"/>
    <w:rsid w:val="008974B3"/>
    <w:rsid w:val="008978E5"/>
    <w:rsid w:val="008A06CB"/>
    <w:rsid w:val="008A17AE"/>
    <w:rsid w:val="008A3D0E"/>
    <w:rsid w:val="008A47E6"/>
    <w:rsid w:val="008A4BD3"/>
    <w:rsid w:val="008A4F8C"/>
    <w:rsid w:val="008A54CA"/>
    <w:rsid w:val="008A5CF5"/>
    <w:rsid w:val="008A6157"/>
    <w:rsid w:val="008B1F3B"/>
    <w:rsid w:val="008B2D7C"/>
    <w:rsid w:val="008B59A2"/>
    <w:rsid w:val="008B7D62"/>
    <w:rsid w:val="008C4621"/>
    <w:rsid w:val="008C6FF8"/>
    <w:rsid w:val="008C729A"/>
    <w:rsid w:val="008D0770"/>
    <w:rsid w:val="008D3558"/>
    <w:rsid w:val="008D6411"/>
    <w:rsid w:val="008E1083"/>
    <w:rsid w:val="008E381C"/>
    <w:rsid w:val="008E57D7"/>
    <w:rsid w:val="008F0D64"/>
    <w:rsid w:val="008F20BA"/>
    <w:rsid w:val="008F4072"/>
    <w:rsid w:val="008F4CCC"/>
    <w:rsid w:val="008F6932"/>
    <w:rsid w:val="008F78BF"/>
    <w:rsid w:val="008F7BD2"/>
    <w:rsid w:val="009022D3"/>
    <w:rsid w:val="0090516C"/>
    <w:rsid w:val="00907FF3"/>
    <w:rsid w:val="00910218"/>
    <w:rsid w:val="009107B8"/>
    <w:rsid w:val="009147ED"/>
    <w:rsid w:val="00917E82"/>
    <w:rsid w:val="00921E80"/>
    <w:rsid w:val="009269FB"/>
    <w:rsid w:val="00927E45"/>
    <w:rsid w:val="00930705"/>
    <w:rsid w:val="00931916"/>
    <w:rsid w:val="00931C66"/>
    <w:rsid w:val="009325FB"/>
    <w:rsid w:val="0093792A"/>
    <w:rsid w:val="00940EBD"/>
    <w:rsid w:val="00941E25"/>
    <w:rsid w:val="0094352C"/>
    <w:rsid w:val="00944DC6"/>
    <w:rsid w:val="00945D6B"/>
    <w:rsid w:val="009525F5"/>
    <w:rsid w:val="0095663C"/>
    <w:rsid w:val="00957DE6"/>
    <w:rsid w:val="00962AD7"/>
    <w:rsid w:val="00963146"/>
    <w:rsid w:val="00963474"/>
    <w:rsid w:val="00966532"/>
    <w:rsid w:val="00966E3A"/>
    <w:rsid w:val="009704BF"/>
    <w:rsid w:val="00972273"/>
    <w:rsid w:val="009761C1"/>
    <w:rsid w:val="00976CC5"/>
    <w:rsid w:val="009800F6"/>
    <w:rsid w:val="00984CF9"/>
    <w:rsid w:val="009925F9"/>
    <w:rsid w:val="00997732"/>
    <w:rsid w:val="009A13A9"/>
    <w:rsid w:val="009A1F82"/>
    <w:rsid w:val="009A58B3"/>
    <w:rsid w:val="009A6446"/>
    <w:rsid w:val="009B08DB"/>
    <w:rsid w:val="009B0B8C"/>
    <w:rsid w:val="009B1B83"/>
    <w:rsid w:val="009B2259"/>
    <w:rsid w:val="009B63C1"/>
    <w:rsid w:val="009C17C1"/>
    <w:rsid w:val="009C36C2"/>
    <w:rsid w:val="009C4448"/>
    <w:rsid w:val="009D10B2"/>
    <w:rsid w:val="009D3AA8"/>
    <w:rsid w:val="009E01E6"/>
    <w:rsid w:val="009E0A6B"/>
    <w:rsid w:val="009E280A"/>
    <w:rsid w:val="009E2D76"/>
    <w:rsid w:val="009E6AD2"/>
    <w:rsid w:val="009E7B6C"/>
    <w:rsid w:val="009F270B"/>
    <w:rsid w:val="009F3974"/>
    <w:rsid w:val="009F41B8"/>
    <w:rsid w:val="009F41F1"/>
    <w:rsid w:val="009F514F"/>
    <w:rsid w:val="009F7A3A"/>
    <w:rsid w:val="00A00DEB"/>
    <w:rsid w:val="00A00F6C"/>
    <w:rsid w:val="00A02BE2"/>
    <w:rsid w:val="00A06F29"/>
    <w:rsid w:val="00A1000A"/>
    <w:rsid w:val="00A1078F"/>
    <w:rsid w:val="00A10A87"/>
    <w:rsid w:val="00A10CAE"/>
    <w:rsid w:val="00A156D8"/>
    <w:rsid w:val="00A17620"/>
    <w:rsid w:val="00A20208"/>
    <w:rsid w:val="00A24310"/>
    <w:rsid w:val="00A255AE"/>
    <w:rsid w:val="00A25D64"/>
    <w:rsid w:val="00A3455B"/>
    <w:rsid w:val="00A35193"/>
    <w:rsid w:val="00A415A3"/>
    <w:rsid w:val="00A424E2"/>
    <w:rsid w:val="00A46895"/>
    <w:rsid w:val="00A50250"/>
    <w:rsid w:val="00A508F9"/>
    <w:rsid w:val="00A5320D"/>
    <w:rsid w:val="00A5780C"/>
    <w:rsid w:val="00A57E20"/>
    <w:rsid w:val="00A60C68"/>
    <w:rsid w:val="00A61590"/>
    <w:rsid w:val="00A649E9"/>
    <w:rsid w:val="00A65397"/>
    <w:rsid w:val="00A71676"/>
    <w:rsid w:val="00A72244"/>
    <w:rsid w:val="00A7396A"/>
    <w:rsid w:val="00A76C48"/>
    <w:rsid w:val="00A77CD7"/>
    <w:rsid w:val="00A806C9"/>
    <w:rsid w:val="00A83157"/>
    <w:rsid w:val="00A834C6"/>
    <w:rsid w:val="00A839DB"/>
    <w:rsid w:val="00A8532F"/>
    <w:rsid w:val="00A8651D"/>
    <w:rsid w:val="00A92E59"/>
    <w:rsid w:val="00A93529"/>
    <w:rsid w:val="00AA08D8"/>
    <w:rsid w:val="00AA4488"/>
    <w:rsid w:val="00AA473A"/>
    <w:rsid w:val="00AA79A2"/>
    <w:rsid w:val="00AB0747"/>
    <w:rsid w:val="00AB2871"/>
    <w:rsid w:val="00AB337C"/>
    <w:rsid w:val="00AB3F12"/>
    <w:rsid w:val="00AB5D37"/>
    <w:rsid w:val="00AB646F"/>
    <w:rsid w:val="00AC1480"/>
    <w:rsid w:val="00AC24E4"/>
    <w:rsid w:val="00AC2A39"/>
    <w:rsid w:val="00AC5C4C"/>
    <w:rsid w:val="00AC6AEB"/>
    <w:rsid w:val="00AC6D22"/>
    <w:rsid w:val="00AD1545"/>
    <w:rsid w:val="00AD2569"/>
    <w:rsid w:val="00AD61C8"/>
    <w:rsid w:val="00AD73F1"/>
    <w:rsid w:val="00AD7925"/>
    <w:rsid w:val="00AE0CD0"/>
    <w:rsid w:val="00AE1985"/>
    <w:rsid w:val="00AE2B0B"/>
    <w:rsid w:val="00AE520D"/>
    <w:rsid w:val="00AE552F"/>
    <w:rsid w:val="00AE7B90"/>
    <w:rsid w:val="00AF22F7"/>
    <w:rsid w:val="00AF3258"/>
    <w:rsid w:val="00AF4057"/>
    <w:rsid w:val="00AF4E87"/>
    <w:rsid w:val="00B01836"/>
    <w:rsid w:val="00B01D67"/>
    <w:rsid w:val="00B04E62"/>
    <w:rsid w:val="00B05D92"/>
    <w:rsid w:val="00B06B68"/>
    <w:rsid w:val="00B134B9"/>
    <w:rsid w:val="00B17535"/>
    <w:rsid w:val="00B1775E"/>
    <w:rsid w:val="00B22B33"/>
    <w:rsid w:val="00B2378C"/>
    <w:rsid w:val="00B250DC"/>
    <w:rsid w:val="00B260F3"/>
    <w:rsid w:val="00B27777"/>
    <w:rsid w:val="00B27E3E"/>
    <w:rsid w:val="00B30AA3"/>
    <w:rsid w:val="00B30EE0"/>
    <w:rsid w:val="00B314DE"/>
    <w:rsid w:val="00B31872"/>
    <w:rsid w:val="00B324D2"/>
    <w:rsid w:val="00B3275E"/>
    <w:rsid w:val="00B32A7F"/>
    <w:rsid w:val="00B32DE8"/>
    <w:rsid w:val="00B34F70"/>
    <w:rsid w:val="00B3634A"/>
    <w:rsid w:val="00B36850"/>
    <w:rsid w:val="00B36E89"/>
    <w:rsid w:val="00B37735"/>
    <w:rsid w:val="00B43440"/>
    <w:rsid w:val="00B44E9D"/>
    <w:rsid w:val="00B464DC"/>
    <w:rsid w:val="00B468D4"/>
    <w:rsid w:val="00B50ED7"/>
    <w:rsid w:val="00B51094"/>
    <w:rsid w:val="00B54654"/>
    <w:rsid w:val="00B54BD3"/>
    <w:rsid w:val="00B56D0D"/>
    <w:rsid w:val="00B602EB"/>
    <w:rsid w:val="00B617F1"/>
    <w:rsid w:val="00B62114"/>
    <w:rsid w:val="00B6273A"/>
    <w:rsid w:val="00B6295B"/>
    <w:rsid w:val="00B6379E"/>
    <w:rsid w:val="00B6395B"/>
    <w:rsid w:val="00B63DBB"/>
    <w:rsid w:val="00B70A6D"/>
    <w:rsid w:val="00B724D2"/>
    <w:rsid w:val="00B7344D"/>
    <w:rsid w:val="00B74511"/>
    <w:rsid w:val="00B7698B"/>
    <w:rsid w:val="00B8053A"/>
    <w:rsid w:val="00B83D09"/>
    <w:rsid w:val="00B8497F"/>
    <w:rsid w:val="00B84A92"/>
    <w:rsid w:val="00B84C86"/>
    <w:rsid w:val="00B84DF5"/>
    <w:rsid w:val="00B84FFD"/>
    <w:rsid w:val="00B92AA8"/>
    <w:rsid w:val="00B93231"/>
    <w:rsid w:val="00B94C94"/>
    <w:rsid w:val="00B95AD7"/>
    <w:rsid w:val="00BA0681"/>
    <w:rsid w:val="00BA08B9"/>
    <w:rsid w:val="00BA3239"/>
    <w:rsid w:val="00BA4FEB"/>
    <w:rsid w:val="00BA5B81"/>
    <w:rsid w:val="00BA73A5"/>
    <w:rsid w:val="00BB0657"/>
    <w:rsid w:val="00BB3891"/>
    <w:rsid w:val="00BC2D6F"/>
    <w:rsid w:val="00BC4068"/>
    <w:rsid w:val="00BC42E3"/>
    <w:rsid w:val="00BC6AC5"/>
    <w:rsid w:val="00BD0CD0"/>
    <w:rsid w:val="00BD4263"/>
    <w:rsid w:val="00BD6787"/>
    <w:rsid w:val="00BE299C"/>
    <w:rsid w:val="00BE2F07"/>
    <w:rsid w:val="00BE2FBD"/>
    <w:rsid w:val="00BE429B"/>
    <w:rsid w:val="00BE483B"/>
    <w:rsid w:val="00BE6855"/>
    <w:rsid w:val="00BF5756"/>
    <w:rsid w:val="00C03DB9"/>
    <w:rsid w:val="00C04BA8"/>
    <w:rsid w:val="00C0523F"/>
    <w:rsid w:val="00C126FE"/>
    <w:rsid w:val="00C1555D"/>
    <w:rsid w:val="00C15A1D"/>
    <w:rsid w:val="00C20037"/>
    <w:rsid w:val="00C2364F"/>
    <w:rsid w:val="00C23F4E"/>
    <w:rsid w:val="00C244D6"/>
    <w:rsid w:val="00C24BFB"/>
    <w:rsid w:val="00C263E3"/>
    <w:rsid w:val="00C26CF1"/>
    <w:rsid w:val="00C27BFC"/>
    <w:rsid w:val="00C30266"/>
    <w:rsid w:val="00C303D4"/>
    <w:rsid w:val="00C31200"/>
    <w:rsid w:val="00C32851"/>
    <w:rsid w:val="00C366C9"/>
    <w:rsid w:val="00C36D70"/>
    <w:rsid w:val="00C40A1E"/>
    <w:rsid w:val="00C41F70"/>
    <w:rsid w:val="00C44454"/>
    <w:rsid w:val="00C467F5"/>
    <w:rsid w:val="00C46D8F"/>
    <w:rsid w:val="00C46E46"/>
    <w:rsid w:val="00C51A6E"/>
    <w:rsid w:val="00C5374A"/>
    <w:rsid w:val="00C72206"/>
    <w:rsid w:val="00C722E3"/>
    <w:rsid w:val="00C77032"/>
    <w:rsid w:val="00C812B6"/>
    <w:rsid w:val="00C82DC9"/>
    <w:rsid w:val="00C84707"/>
    <w:rsid w:val="00C8569D"/>
    <w:rsid w:val="00C8774B"/>
    <w:rsid w:val="00C9014B"/>
    <w:rsid w:val="00C9106D"/>
    <w:rsid w:val="00C91FB4"/>
    <w:rsid w:val="00C95247"/>
    <w:rsid w:val="00C95558"/>
    <w:rsid w:val="00C95E97"/>
    <w:rsid w:val="00CA2D08"/>
    <w:rsid w:val="00CA3B5D"/>
    <w:rsid w:val="00CA4B0A"/>
    <w:rsid w:val="00CA6A29"/>
    <w:rsid w:val="00CB1367"/>
    <w:rsid w:val="00CB17D8"/>
    <w:rsid w:val="00CB42B7"/>
    <w:rsid w:val="00CB56D6"/>
    <w:rsid w:val="00CB6A20"/>
    <w:rsid w:val="00CC3C2F"/>
    <w:rsid w:val="00CC4C31"/>
    <w:rsid w:val="00CC53D6"/>
    <w:rsid w:val="00CC7753"/>
    <w:rsid w:val="00CD15BB"/>
    <w:rsid w:val="00CD2151"/>
    <w:rsid w:val="00CD3E35"/>
    <w:rsid w:val="00CE722E"/>
    <w:rsid w:val="00CE723C"/>
    <w:rsid w:val="00CE7C4F"/>
    <w:rsid w:val="00CF26C1"/>
    <w:rsid w:val="00CF38CD"/>
    <w:rsid w:val="00D02CF1"/>
    <w:rsid w:val="00D05C93"/>
    <w:rsid w:val="00D072DD"/>
    <w:rsid w:val="00D128A5"/>
    <w:rsid w:val="00D16135"/>
    <w:rsid w:val="00D203CF"/>
    <w:rsid w:val="00D20F46"/>
    <w:rsid w:val="00D21230"/>
    <w:rsid w:val="00D32935"/>
    <w:rsid w:val="00D34F7D"/>
    <w:rsid w:val="00D3796A"/>
    <w:rsid w:val="00D4034C"/>
    <w:rsid w:val="00D45AF5"/>
    <w:rsid w:val="00D51134"/>
    <w:rsid w:val="00D51456"/>
    <w:rsid w:val="00D514C6"/>
    <w:rsid w:val="00D5172A"/>
    <w:rsid w:val="00D52C32"/>
    <w:rsid w:val="00D546D9"/>
    <w:rsid w:val="00D56004"/>
    <w:rsid w:val="00D5684E"/>
    <w:rsid w:val="00D60C34"/>
    <w:rsid w:val="00D63706"/>
    <w:rsid w:val="00D64A44"/>
    <w:rsid w:val="00D64A84"/>
    <w:rsid w:val="00D64C26"/>
    <w:rsid w:val="00D6590A"/>
    <w:rsid w:val="00D67078"/>
    <w:rsid w:val="00D67B2D"/>
    <w:rsid w:val="00D72B56"/>
    <w:rsid w:val="00D73DA4"/>
    <w:rsid w:val="00D73E74"/>
    <w:rsid w:val="00D75590"/>
    <w:rsid w:val="00D7579D"/>
    <w:rsid w:val="00D76E93"/>
    <w:rsid w:val="00D772D1"/>
    <w:rsid w:val="00D77D99"/>
    <w:rsid w:val="00D80789"/>
    <w:rsid w:val="00D8197C"/>
    <w:rsid w:val="00D82B10"/>
    <w:rsid w:val="00D8386B"/>
    <w:rsid w:val="00D8467F"/>
    <w:rsid w:val="00D8471B"/>
    <w:rsid w:val="00D84A13"/>
    <w:rsid w:val="00D87A2E"/>
    <w:rsid w:val="00D94636"/>
    <w:rsid w:val="00D94B0E"/>
    <w:rsid w:val="00D953A3"/>
    <w:rsid w:val="00D97BB8"/>
    <w:rsid w:val="00DA0C74"/>
    <w:rsid w:val="00DA247F"/>
    <w:rsid w:val="00DA2C6C"/>
    <w:rsid w:val="00DA6689"/>
    <w:rsid w:val="00DB1CBC"/>
    <w:rsid w:val="00DB2023"/>
    <w:rsid w:val="00DB2BD4"/>
    <w:rsid w:val="00DB4DA8"/>
    <w:rsid w:val="00DB53B8"/>
    <w:rsid w:val="00DB6199"/>
    <w:rsid w:val="00DC136A"/>
    <w:rsid w:val="00DC1F68"/>
    <w:rsid w:val="00DD1115"/>
    <w:rsid w:val="00DD2B12"/>
    <w:rsid w:val="00DD4C8D"/>
    <w:rsid w:val="00DD4D89"/>
    <w:rsid w:val="00DD5024"/>
    <w:rsid w:val="00DD59A4"/>
    <w:rsid w:val="00DD62CA"/>
    <w:rsid w:val="00DD7A99"/>
    <w:rsid w:val="00DE501D"/>
    <w:rsid w:val="00DE70DA"/>
    <w:rsid w:val="00DF07DA"/>
    <w:rsid w:val="00DF10AC"/>
    <w:rsid w:val="00DF175E"/>
    <w:rsid w:val="00DF1952"/>
    <w:rsid w:val="00DF3A29"/>
    <w:rsid w:val="00DF47D7"/>
    <w:rsid w:val="00DF4F0F"/>
    <w:rsid w:val="00DF5744"/>
    <w:rsid w:val="00DF6FDA"/>
    <w:rsid w:val="00DF7688"/>
    <w:rsid w:val="00E00686"/>
    <w:rsid w:val="00E00AB3"/>
    <w:rsid w:val="00E00BE3"/>
    <w:rsid w:val="00E02B0C"/>
    <w:rsid w:val="00E03822"/>
    <w:rsid w:val="00E04A0A"/>
    <w:rsid w:val="00E076A3"/>
    <w:rsid w:val="00E134E3"/>
    <w:rsid w:val="00E13D77"/>
    <w:rsid w:val="00E17520"/>
    <w:rsid w:val="00E22B43"/>
    <w:rsid w:val="00E27970"/>
    <w:rsid w:val="00E27B93"/>
    <w:rsid w:val="00E30B41"/>
    <w:rsid w:val="00E310F2"/>
    <w:rsid w:val="00E3203B"/>
    <w:rsid w:val="00E34F56"/>
    <w:rsid w:val="00E409B8"/>
    <w:rsid w:val="00E45542"/>
    <w:rsid w:val="00E4760F"/>
    <w:rsid w:val="00E47B49"/>
    <w:rsid w:val="00E5335B"/>
    <w:rsid w:val="00E533EB"/>
    <w:rsid w:val="00E5561E"/>
    <w:rsid w:val="00E5649D"/>
    <w:rsid w:val="00E569E3"/>
    <w:rsid w:val="00E57365"/>
    <w:rsid w:val="00E57FD4"/>
    <w:rsid w:val="00E6052C"/>
    <w:rsid w:val="00E642D5"/>
    <w:rsid w:val="00E64558"/>
    <w:rsid w:val="00E70AE4"/>
    <w:rsid w:val="00E71F87"/>
    <w:rsid w:val="00E767E5"/>
    <w:rsid w:val="00E77012"/>
    <w:rsid w:val="00E80275"/>
    <w:rsid w:val="00E810B7"/>
    <w:rsid w:val="00E81C17"/>
    <w:rsid w:val="00E81F78"/>
    <w:rsid w:val="00E832FC"/>
    <w:rsid w:val="00E83FE6"/>
    <w:rsid w:val="00E84296"/>
    <w:rsid w:val="00E90C29"/>
    <w:rsid w:val="00E91D71"/>
    <w:rsid w:val="00E971C6"/>
    <w:rsid w:val="00EA2034"/>
    <w:rsid w:val="00EA7391"/>
    <w:rsid w:val="00EA7C9F"/>
    <w:rsid w:val="00EB10D4"/>
    <w:rsid w:val="00EB19AA"/>
    <w:rsid w:val="00EC03F9"/>
    <w:rsid w:val="00EC0E91"/>
    <w:rsid w:val="00EC179C"/>
    <w:rsid w:val="00EC48E7"/>
    <w:rsid w:val="00EC5746"/>
    <w:rsid w:val="00EC66C6"/>
    <w:rsid w:val="00EC71DB"/>
    <w:rsid w:val="00ED1388"/>
    <w:rsid w:val="00ED23E3"/>
    <w:rsid w:val="00ED2620"/>
    <w:rsid w:val="00ED2C56"/>
    <w:rsid w:val="00ED4289"/>
    <w:rsid w:val="00ED61F9"/>
    <w:rsid w:val="00ED6CD5"/>
    <w:rsid w:val="00ED6D88"/>
    <w:rsid w:val="00EE1C32"/>
    <w:rsid w:val="00EE275C"/>
    <w:rsid w:val="00EE2E32"/>
    <w:rsid w:val="00EE3269"/>
    <w:rsid w:val="00EE4C75"/>
    <w:rsid w:val="00EE6316"/>
    <w:rsid w:val="00EF08C2"/>
    <w:rsid w:val="00EF0C1B"/>
    <w:rsid w:val="00EF1256"/>
    <w:rsid w:val="00EF3C77"/>
    <w:rsid w:val="00EF6437"/>
    <w:rsid w:val="00EF6836"/>
    <w:rsid w:val="00EF68B3"/>
    <w:rsid w:val="00EF7138"/>
    <w:rsid w:val="00EF7842"/>
    <w:rsid w:val="00EF7AEA"/>
    <w:rsid w:val="00F01425"/>
    <w:rsid w:val="00F01AED"/>
    <w:rsid w:val="00F02C87"/>
    <w:rsid w:val="00F03D37"/>
    <w:rsid w:val="00F03ED2"/>
    <w:rsid w:val="00F07938"/>
    <w:rsid w:val="00F12FF5"/>
    <w:rsid w:val="00F15629"/>
    <w:rsid w:val="00F16625"/>
    <w:rsid w:val="00F2127E"/>
    <w:rsid w:val="00F215A2"/>
    <w:rsid w:val="00F215F5"/>
    <w:rsid w:val="00F221C4"/>
    <w:rsid w:val="00F30E83"/>
    <w:rsid w:val="00F31B05"/>
    <w:rsid w:val="00F32C5B"/>
    <w:rsid w:val="00F33CB9"/>
    <w:rsid w:val="00F33F86"/>
    <w:rsid w:val="00F3534D"/>
    <w:rsid w:val="00F35648"/>
    <w:rsid w:val="00F375BF"/>
    <w:rsid w:val="00F413C5"/>
    <w:rsid w:val="00F56228"/>
    <w:rsid w:val="00F62607"/>
    <w:rsid w:val="00F62D0A"/>
    <w:rsid w:val="00F6450A"/>
    <w:rsid w:val="00F6567B"/>
    <w:rsid w:val="00F65777"/>
    <w:rsid w:val="00F71819"/>
    <w:rsid w:val="00F741FE"/>
    <w:rsid w:val="00F74303"/>
    <w:rsid w:val="00F7453A"/>
    <w:rsid w:val="00F75D17"/>
    <w:rsid w:val="00F76091"/>
    <w:rsid w:val="00F82280"/>
    <w:rsid w:val="00F82E5E"/>
    <w:rsid w:val="00F837AC"/>
    <w:rsid w:val="00F84225"/>
    <w:rsid w:val="00F9370D"/>
    <w:rsid w:val="00F93FD4"/>
    <w:rsid w:val="00F9404E"/>
    <w:rsid w:val="00F951EF"/>
    <w:rsid w:val="00F95644"/>
    <w:rsid w:val="00F96003"/>
    <w:rsid w:val="00F97820"/>
    <w:rsid w:val="00FA613B"/>
    <w:rsid w:val="00FA6406"/>
    <w:rsid w:val="00FA69C9"/>
    <w:rsid w:val="00FA72E4"/>
    <w:rsid w:val="00FB7769"/>
    <w:rsid w:val="00FB77A4"/>
    <w:rsid w:val="00FC1583"/>
    <w:rsid w:val="00FC2F84"/>
    <w:rsid w:val="00FC36A6"/>
    <w:rsid w:val="00FC4074"/>
    <w:rsid w:val="00FC506A"/>
    <w:rsid w:val="00FC6797"/>
    <w:rsid w:val="00FD452C"/>
    <w:rsid w:val="00FD4ED1"/>
    <w:rsid w:val="00FD4F62"/>
    <w:rsid w:val="00FD5ACF"/>
    <w:rsid w:val="00FD669D"/>
    <w:rsid w:val="00FD7C7C"/>
    <w:rsid w:val="00FE13AA"/>
    <w:rsid w:val="00FE1BBC"/>
    <w:rsid w:val="00FE3C3D"/>
    <w:rsid w:val="00FE73EF"/>
    <w:rsid w:val="00FF51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B4D651"/>
  <w15:docId w15:val="{6CE54AA4-2B47-AF40-AB77-5ADF0B4D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62CA"/>
    <w:rPr>
      <w:rFonts w:ascii="Arial Unicode MS" w:eastAsia="Arial Unicode MS" w:hAnsi="Arial Unicode MS" w:cs="Arial Unicode MS"/>
    </w:rPr>
  </w:style>
  <w:style w:type="paragraph" w:styleId="Heading1">
    <w:name w:val="heading 1"/>
    <w:basedOn w:val="Normal"/>
    <w:qFormat/>
    <w:pPr>
      <w:spacing w:before="10"/>
      <w:ind w:left="1117"/>
      <w:outlineLvl w:val="0"/>
    </w:pPr>
    <w:rPr>
      <w:rFonts w:ascii="Helvetica" w:eastAsia="Helvetica" w:hAnsi="Helvetica" w:cs="Helvetica"/>
      <w:b/>
      <w:bCs/>
      <w:sz w:val="30"/>
      <w:szCs w:val="30"/>
    </w:rPr>
  </w:style>
  <w:style w:type="paragraph" w:styleId="Heading2">
    <w:name w:val="heading 2"/>
    <w:basedOn w:val="Normal"/>
    <w:link w:val="Heading2Char"/>
    <w:unhideWhenUsed/>
    <w:qFormat/>
    <w:pPr>
      <w:spacing w:before="42"/>
      <w:ind w:left="3217"/>
      <w:outlineLvl w:val="1"/>
    </w:pPr>
    <w:rPr>
      <w:rFonts w:ascii="Helvetica" w:eastAsia="Helvetica" w:hAnsi="Helvetica" w:cs="Helvetica"/>
      <w:b/>
      <w:bCs/>
      <w:sz w:val="28"/>
      <w:szCs w:val="28"/>
    </w:rPr>
  </w:style>
  <w:style w:type="paragraph" w:styleId="Heading3">
    <w:name w:val="heading 3"/>
    <w:basedOn w:val="Normal"/>
    <w:unhideWhenUsed/>
    <w:qFormat/>
    <w:pPr>
      <w:spacing w:before="36"/>
      <w:ind w:left="364"/>
      <w:outlineLvl w:val="2"/>
    </w:pPr>
    <w:rPr>
      <w:rFonts w:ascii="Helvetica" w:eastAsia="Helvetica" w:hAnsi="Helvetica" w:cs="Helvetica"/>
      <w:b/>
      <w:bCs/>
      <w:sz w:val="24"/>
      <w:szCs w:val="24"/>
    </w:rPr>
  </w:style>
  <w:style w:type="paragraph" w:styleId="Heading4">
    <w:name w:val="heading 4"/>
    <w:basedOn w:val="Normal"/>
    <w:unhideWhenUsed/>
    <w:qFormat/>
    <w:pPr>
      <w:ind w:left="1199"/>
      <w:outlineLvl w:val="3"/>
    </w:pPr>
    <w:rPr>
      <w:sz w:val="20"/>
      <w:szCs w:val="20"/>
    </w:rPr>
  </w:style>
  <w:style w:type="paragraph" w:styleId="Heading5">
    <w:name w:val="heading 5"/>
    <w:basedOn w:val="Normal"/>
    <w:unhideWhenUsed/>
    <w:qFormat/>
    <w:pPr>
      <w:ind w:left="367"/>
      <w:outlineLvl w:val="4"/>
    </w:pPr>
    <w:rPr>
      <w:rFonts w:ascii="Helvetica" w:eastAsia="Helvetica" w:hAnsi="Helvetica" w:cs="Helvetica"/>
      <w:b/>
      <w:bCs/>
      <w:sz w:val="19"/>
      <w:szCs w:val="19"/>
    </w:rPr>
  </w:style>
  <w:style w:type="paragraph" w:styleId="Heading6">
    <w:name w:val="heading 6"/>
    <w:basedOn w:val="Normal"/>
    <w:unhideWhenUsed/>
    <w:qFormat/>
    <w:pPr>
      <w:ind w:left="364"/>
      <w:outlineLvl w:val="5"/>
    </w:pPr>
    <w:rPr>
      <w:rFonts w:ascii="HelveticaNeue-BoldItalic" w:eastAsia="HelveticaNeue-BoldItalic" w:hAnsi="HelveticaNeue-BoldItalic" w:cs="HelveticaNeue-BoldItalic"/>
      <w:b/>
      <w:bCs/>
      <w:i/>
      <w:sz w:val="19"/>
      <w:szCs w:val="19"/>
    </w:rPr>
  </w:style>
  <w:style w:type="paragraph" w:styleId="Heading7">
    <w:name w:val="heading 7"/>
    <w:basedOn w:val="Normal"/>
    <w:next w:val="Normal"/>
    <w:link w:val="Heading7Char"/>
    <w:qFormat/>
    <w:rsid w:val="0075420D"/>
    <w:pPr>
      <w:widowControl/>
      <w:autoSpaceDE/>
      <w:autoSpaceDN/>
      <w:spacing w:before="240" w:after="60"/>
      <w:outlineLvl w:val="6"/>
    </w:pPr>
    <w:rPr>
      <w:rFonts w:ascii="Times New Roman" w:eastAsia="PMingLiU" w:hAnsi="Times New Roman" w:cs="Times New Roman"/>
      <w:sz w:val="24"/>
      <w:szCs w:val="24"/>
    </w:rPr>
  </w:style>
  <w:style w:type="paragraph" w:styleId="Heading8">
    <w:name w:val="heading 8"/>
    <w:basedOn w:val="Normal"/>
    <w:next w:val="Normal"/>
    <w:link w:val="Heading8Char"/>
    <w:qFormat/>
    <w:rsid w:val="0075420D"/>
    <w:pPr>
      <w:widowControl/>
      <w:autoSpaceDE/>
      <w:autoSpaceDN/>
      <w:spacing w:before="240" w:after="60"/>
      <w:outlineLvl w:val="7"/>
    </w:pPr>
    <w:rPr>
      <w:rFonts w:ascii="Times New Roman" w:eastAsia="PMingLiU" w:hAnsi="Times New Roman" w:cs="Times New Roman"/>
      <w:i/>
      <w:iCs/>
      <w:sz w:val="24"/>
      <w:szCs w:val="24"/>
    </w:rPr>
  </w:style>
  <w:style w:type="paragraph" w:styleId="Heading9">
    <w:name w:val="heading 9"/>
    <w:basedOn w:val="Normal"/>
    <w:next w:val="Normal"/>
    <w:link w:val="Heading9Char"/>
    <w:qFormat/>
    <w:rsid w:val="0075420D"/>
    <w:pPr>
      <w:widowControl/>
      <w:autoSpaceDE/>
      <w:autoSpaceDN/>
      <w:spacing w:before="240" w:after="60"/>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5420D"/>
    <w:rPr>
      <w:rFonts w:ascii="Helvetica" w:eastAsia="Helvetica" w:hAnsi="Helvetica" w:cs="Helvetica"/>
      <w:b/>
      <w:bCs/>
      <w:sz w:val="28"/>
      <w:szCs w:val="28"/>
    </w:rPr>
  </w:style>
  <w:style w:type="character" w:customStyle="1" w:styleId="Heading7Char">
    <w:name w:val="Heading 7 Char"/>
    <w:basedOn w:val="DefaultParagraphFont"/>
    <w:link w:val="Heading7"/>
    <w:rsid w:val="0075420D"/>
    <w:rPr>
      <w:rFonts w:ascii="Times New Roman" w:eastAsia="PMingLiU" w:hAnsi="Times New Roman" w:cs="Times New Roman"/>
      <w:sz w:val="24"/>
      <w:szCs w:val="24"/>
    </w:rPr>
  </w:style>
  <w:style w:type="character" w:customStyle="1" w:styleId="Heading8Char">
    <w:name w:val="Heading 8 Char"/>
    <w:basedOn w:val="DefaultParagraphFont"/>
    <w:link w:val="Heading8"/>
    <w:rsid w:val="0075420D"/>
    <w:rPr>
      <w:rFonts w:ascii="Times New Roman" w:eastAsia="PMingLiU" w:hAnsi="Times New Roman" w:cs="Times New Roman"/>
      <w:i/>
      <w:iCs/>
      <w:sz w:val="24"/>
      <w:szCs w:val="24"/>
    </w:rPr>
  </w:style>
  <w:style w:type="character" w:customStyle="1" w:styleId="Heading9Char">
    <w:name w:val="Heading 9 Char"/>
    <w:basedOn w:val="DefaultParagraphFont"/>
    <w:link w:val="Heading9"/>
    <w:rsid w:val="0075420D"/>
    <w:rPr>
      <w:rFonts w:ascii="Arial" w:eastAsia="PMingLiU" w:hAnsi="Arial" w:cs="Arial"/>
    </w:rPr>
  </w:style>
  <w:style w:type="paragraph" w:styleId="BodyText">
    <w:name w:val="Body Text"/>
    <w:basedOn w:val="Normal"/>
    <w:link w:val="BodyTextChar"/>
    <w:qFormat/>
    <w:rPr>
      <w:sz w:val="19"/>
      <w:szCs w:val="19"/>
    </w:rPr>
  </w:style>
  <w:style w:type="character" w:customStyle="1" w:styleId="BodyTextChar">
    <w:name w:val="Body Text Char"/>
    <w:basedOn w:val="DefaultParagraphFont"/>
    <w:link w:val="BodyText"/>
    <w:rsid w:val="0075420D"/>
    <w:rPr>
      <w:rFonts w:ascii="Arial Unicode MS" w:eastAsia="Arial Unicode MS" w:hAnsi="Arial Unicode MS" w:cs="Arial Unicode MS"/>
      <w:sz w:val="19"/>
      <w:szCs w:val="19"/>
    </w:rPr>
  </w:style>
  <w:style w:type="paragraph" w:styleId="ListParagraph">
    <w:name w:val="List Paragraph"/>
    <w:basedOn w:val="Normal"/>
    <w:link w:val="ListParagraphChar"/>
    <w:uiPriority w:val="34"/>
    <w:qFormat/>
    <w:pPr>
      <w:ind w:left="724" w:hanging="360"/>
    </w:pPr>
  </w:style>
  <w:style w:type="character" w:customStyle="1" w:styleId="ListParagraphChar">
    <w:name w:val="List Paragraph Char"/>
    <w:basedOn w:val="DefaultParagraphFont"/>
    <w:link w:val="ListParagraph"/>
    <w:uiPriority w:val="34"/>
    <w:locked/>
    <w:rsid w:val="00927E45"/>
    <w:rPr>
      <w:rFonts w:ascii="Arial Unicode MS" w:eastAsia="Arial Unicode MS" w:hAnsi="Arial Unicode MS" w:cs="Arial Unicode MS"/>
    </w:rPr>
  </w:style>
  <w:style w:type="paragraph" w:customStyle="1" w:styleId="TableParagraph">
    <w:name w:val="Table Paragraph"/>
    <w:basedOn w:val="Normal"/>
    <w:uiPriority w:val="1"/>
    <w:qFormat/>
  </w:style>
  <w:style w:type="paragraph" w:styleId="BalloonText">
    <w:name w:val="Balloon Text"/>
    <w:basedOn w:val="Normal"/>
    <w:link w:val="BalloonTextChar"/>
    <w:semiHidden/>
    <w:unhideWhenUsed/>
    <w:rsid w:val="00747E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E30"/>
    <w:rPr>
      <w:rFonts w:ascii="Times New Roman" w:eastAsia="Arial Unicode MS" w:hAnsi="Times New Roman" w:cs="Times New Roman"/>
      <w:sz w:val="18"/>
      <w:szCs w:val="18"/>
    </w:rPr>
  </w:style>
  <w:style w:type="paragraph" w:styleId="Header">
    <w:name w:val="header"/>
    <w:basedOn w:val="Normal"/>
    <w:link w:val="HeaderChar"/>
    <w:uiPriority w:val="99"/>
    <w:unhideWhenUsed/>
    <w:rsid w:val="0075420D"/>
    <w:pPr>
      <w:tabs>
        <w:tab w:val="center" w:pos="4680"/>
        <w:tab w:val="right" w:pos="9360"/>
      </w:tabs>
    </w:pPr>
  </w:style>
  <w:style w:type="character" w:customStyle="1" w:styleId="HeaderChar">
    <w:name w:val="Header Char"/>
    <w:basedOn w:val="DefaultParagraphFont"/>
    <w:link w:val="Header"/>
    <w:uiPriority w:val="99"/>
    <w:rsid w:val="0075420D"/>
    <w:rPr>
      <w:rFonts w:ascii="Arial Unicode MS" w:eastAsia="Arial Unicode MS" w:hAnsi="Arial Unicode MS" w:cs="Arial Unicode MS"/>
    </w:rPr>
  </w:style>
  <w:style w:type="paragraph" w:styleId="Footer">
    <w:name w:val="footer"/>
    <w:basedOn w:val="Normal"/>
    <w:link w:val="FooterChar"/>
    <w:uiPriority w:val="99"/>
    <w:unhideWhenUsed/>
    <w:rsid w:val="0075420D"/>
    <w:pPr>
      <w:tabs>
        <w:tab w:val="center" w:pos="4680"/>
        <w:tab w:val="right" w:pos="9360"/>
      </w:tabs>
    </w:pPr>
  </w:style>
  <w:style w:type="character" w:customStyle="1" w:styleId="FooterChar">
    <w:name w:val="Footer Char"/>
    <w:basedOn w:val="DefaultParagraphFont"/>
    <w:link w:val="Footer"/>
    <w:uiPriority w:val="99"/>
    <w:rsid w:val="0075420D"/>
    <w:rPr>
      <w:rFonts w:ascii="Arial Unicode MS" w:eastAsia="Arial Unicode MS" w:hAnsi="Arial Unicode MS" w:cs="Arial Unicode MS"/>
    </w:rPr>
  </w:style>
  <w:style w:type="character" w:customStyle="1" w:styleId="BodyText2Char">
    <w:name w:val="Body Text 2 Char"/>
    <w:basedOn w:val="DefaultParagraphFont"/>
    <w:link w:val="BodyText2"/>
    <w:semiHidden/>
    <w:rsid w:val="0075420D"/>
    <w:rPr>
      <w:rFonts w:ascii="Times New Roman" w:eastAsia="PMingLiU" w:hAnsi="Times New Roman" w:cs="Times New Roman"/>
      <w:snapToGrid w:val="0"/>
      <w:sz w:val="24"/>
      <w:szCs w:val="20"/>
      <w:lang w:val="en-GB"/>
    </w:rPr>
  </w:style>
  <w:style w:type="paragraph" w:styleId="BodyText2">
    <w:name w:val="Body Text 2"/>
    <w:basedOn w:val="Normal"/>
    <w:link w:val="BodyText2Char"/>
    <w:semiHidden/>
    <w:rsid w:val="0075420D"/>
    <w:pPr>
      <w:autoSpaceDE/>
      <w:autoSpaceDN/>
      <w:spacing w:after="120" w:line="480" w:lineRule="auto"/>
    </w:pPr>
    <w:rPr>
      <w:rFonts w:ascii="Times New Roman" w:eastAsia="PMingLiU" w:hAnsi="Times New Roman" w:cs="Times New Roman"/>
      <w:snapToGrid w:val="0"/>
      <w:sz w:val="24"/>
      <w:szCs w:val="20"/>
      <w:lang w:val="en-GB"/>
    </w:rPr>
  </w:style>
  <w:style w:type="character" w:styleId="Hyperlink">
    <w:name w:val="Hyperlink"/>
    <w:rsid w:val="0075420D"/>
    <w:rPr>
      <w:color w:val="0000FF"/>
      <w:u w:val="single"/>
    </w:rPr>
  </w:style>
  <w:style w:type="character" w:customStyle="1" w:styleId="BodyText3Char">
    <w:name w:val="Body Text 3 Char"/>
    <w:basedOn w:val="DefaultParagraphFont"/>
    <w:link w:val="BodyText3"/>
    <w:semiHidden/>
    <w:rsid w:val="0075420D"/>
    <w:rPr>
      <w:rFonts w:ascii="Times New Roman" w:eastAsia="PMingLiU" w:hAnsi="Times New Roman" w:cs="Times New Roman"/>
      <w:color w:val="000000"/>
      <w:szCs w:val="24"/>
    </w:rPr>
  </w:style>
  <w:style w:type="paragraph" w:styleId="BodyText3">
    <w:name w:val="Body Text 3"/>
    <w:basedOn w:val="Normal"/>
    <w:link w:val="BodyText3Char"/>
    <w:semiHidden/>
    <w:rsid w:val="0075420D"/>
    <w:pPr>
      <w:widowControl/>
      <w:autoSpaceDE/>
      <w:autoSpaceDN/>
      <w:jc w:val="both"/>
    </w:pPr>
    <w:rPr>
      <w:rFonts w:ascii="Times New Roman" w:eastAsia="PMingLiU" w:hAnsi="Times New Roman" w:cs="Times New Roman"/>
      <w:color w:val="000000"/>
      <w:szCs w:val="24"/>
    </w:rPr>
  </w:style>
  <w:style w:type="character" w:customStyle="1" w:styleId="BodyTextIndentChar">
    <w:name w:val="Body Text Indent Char"/>
    <w:basedOn w:val="DefaultParagraphFont"/>
    <w:link w:val="BodyTextIndent"/>
    <w:semiHidden/>
    <w:rsid w:val="0075420D"/>
    <w:rPr>
      <w:rFonts w:ascii="Times New Roman" w:eastAsia="PMingLiU" w:hAnsi="Times New Roman" w:cs="Times New Roman"/>
      <w:szCs w:val="24"/>
    </w:rPr>
  </w:style>
  <w:style w:type="paragraph" w:styleId="BodyTextIndent">
    <w:name w:val="Body Text Indent"/>
    <w:basedOn w:val="Normal"/>
    <w:link w:val="BodyTextIndentChar"/>
    <w:semiHidden/>
    <w:rsid w:val="0075420D"/>
    <w:pPr>
      <w:widowControl/>
      <w:tabs>
        <w:tab w:val="left" w:pos="3600"/>
        <w:tab w:val="left" w:pos="5580"/>
        <w:tab w:val="left" w:pos="7920"/>
        <w:tab w:val="decimal" w:pos="9720"/>
      </w:tabs>
      <w:autoSpaceDE/>
      <w:autoSpaceDN/>
      <w:ind w:left="810"/>
      <w:jc w:val="both"/>
    </w:pPr>
    <w:rPr>
      <w:rFonts w:ascii="Times New Roman" w:eastAsia="PMingLiU" w:hAnsi="Times New Roman" w:cs="Times New Roman"/>
      <w:szCs w:val="24"/>
    </w:rPr>
  </w:style>
  <w:style w:type="character" w:customStyle="1" w:styleId="BodyTextFirstIndentChar">
    <w:name w:val="Body Text First Indent Char"/>
    <w:basedOn w:val="BodyTextChar"/>
    <w:link w:val="BodyTextFirstIndent"/>
    <w:semiHidden/>
    <w:rsid w:val="0075420D"/>
    <w:rPr>
      <w:rFonts w:ascii="Times New Roman" w:eastAsia="PMingLiU" w:hAnsi="Times New Roman" w:cs="Times New Roman"/>
      <w:sz w:val="24"/>
      <w:szCs w:val="24"/>
    </w:rPr>
  </w:style>
  <w:style w:type="paragraph" w:styleId="BodyTextFirstIndent">
    <w:name w:val="Body Text First Indent"/>
    <w:basedOn w:val="BodyText"/>
    <w:link w:val="BodyTextFirstIndentChar"/>
    <w:semiHidden/>
    <w:rsid w:val="0075420D"/>
    <w:pPr>
      <w:widowControl/>
      <w:autoSpaceDE/>
      <w:autoSpaceDN/>
      <w:spacing w:after="120"/>
      <w:ind w:firstLine="210"/>
    </w:pPr>
    <w:rPr>
      <w:rFonts w:ascii="Times New Roman" w:eastAsia="PMingLiU" w:hAnsi="Times New Roman" w:cs="Times New Roman"/>
      <w:sz w:val="24"/>
      <w:szCs w:val="24"/>
    </w:rPr>
  </w:style>
  <w:style w:type="character" w:customStyle="1" w:styleId="BodyTextFirstIndent2Char">
    <w:name w:val="Body Text First Indent 2 Char"/>
    <w:basedOn w:val="BodyTextIndentChar"/>
    <w:link w:val="BodyTextFirstIndent2"/>
    <w:semiHidden/>
    <w:rsid w:val="0075420D"/>
    <w:rPr>
      <w:rFonts w:ascii="Times New Roman" w:eastAsia="PMingLiU" w:hAnsi="Times New Roman" w:cs="Times New Roman"/>
      <w:sz w:val="24"/>
      <w:szCs w:val="24"/>
    </w:rPr>
  </w:style>
  <w:style w:type="paragraph" w:styleId="BodyTextFirstIndent2">
    <w:name w:val="Body Text First Indent 2"/>
    <w:basedOn w:val="BodyTextIndent"/>
    <w:link w:val="BodyTextFirstIndent2Char"/>
    <w:semiHidden/>
    <w:rsid w:val="0075420D"/>
    <w:pPr>
      <w:tabs>
        <w:tab w:val="clear" w:pos="3600"/>
        <w:tab w:val="clear" w:pos="5580"/>
        <w:tab w:val="clear" w:pos="7920"/>
        <w:tab w:val="clear" w:pos="9720"/>
      </w:tabs>
      <w:spacing w:after="120"/>
      <w:ind w:left="360" w:firstLine="210"/>
      <w:jc w:val="left"/>
    </w:pPr>
    <w:rPr>
      <w:sz w:val="24"/>
    </w:rPr>
  </w:style>
  <w:style w:type="character" w:customStyle="1" w:styleId="BodyTextIndent2Char">
    <w:name w:val="Body Text Indent 2 Char"/>
    <w:basedOn w:val="DefaultParagraphFont"/>
    <w:link w:val="BodyTextIndent2"/>
    <w:semiHidden/>
    <w:rsid w:val="0075420D"/>
    <w:rPr>
      <w:rFonts w:ascii="Times New Roman" w:eastAsia="PMingLiU" w:hAnsi="Times New Roman" w:cs="Times New Roman"/>
      <w:sz w:val="24"/>
      <w:szCs w:val="24"/>
    </w:rPr>
  </w:style>
  <w:style w:type="paragraph" w:styleId="BodyTextIndent2">
    <w:name w:val="Body Text Indent 2"/>
    <w:basedOn w:val="Normal"/>
    <w:link w:val="BodyTextIndent2Char"/>
    <w:semiHidden/>
    <w:rsid w:val="0075420D"/>
    <w:pPr>
      <w:widowControl/>
      <w:autoSpaceDE/>
      <w:autoSpaceDN/>
      <w:spacing w:after="120" w:line="480" w:lineRule="auto"/>
      <w:ind w:left="360"/>
    </w:pPr>
    <w:rPr>
      <w:rFonts w:ascii="Times New Roman" w:eastAsia="PMingLiU" w:hAnsi="Times New Roman" w:cs="Times New Roman"/>
      <w:sz w:val="24"/>
      <w:szCs w:val="24"/>
    </w:rPr>
  </w:style>
  <w:style w:type="character" w:customStyle="1" w:styleId="BodyTextIndent3Char">
    <w:name w:val="Body Text Indent 3 Char"/>
    <w:basedOn w:val="DefaultParagraphFont"/>
    <w:link w:val="BodyTextIndent3"/>
    <w:semiHidden/>
    <w:rsid w:val="0075420D"/>
    <w:rPr>
      <w:rFonts w:ascii="Times New Roman" w:eastAsia="PMingLiU" w:hAnsi="Times New Roman" w:cs="Times New Roman"/>
      <w:sz w:val="16"/>
      <w:szCs w:val="16"/>
    </w:rPr>
  </w:style>
  <w:style w:type="paragraph" w:styleId="BodyTextIndent3">
    <w:name w:val="Body Text Indent 3"/>
    <w:basedOn w:val="Normal"/>
    <w:link w:val="BodyTextIndent3Char"/>
    <w:semiHidden/>
    <w:rsid w:val="0075420D"/>
    <w:pPr>
      <w:widowControl/>
      <w:autoSpaceDE/>
      <w:autoSpaceDN/>
      <w:spacing w:after="120"/>
      <w:ind w:left="360"/>
    </w:pPr>
    <w:rPr>
      <w:rFonts w:ascii="Times New Roman" w:eastAsia="PMingLiU" w:hAnsi="Times New Roman" w:cs="Times New Roman"/>
      <w:sz w:val="16"/>
      <w:szCs w:val="16"/>
    </w:rPr>
  </w:style>
  <w:style w:type="paragraph" w:styleId="Caption">
    <w:name w:val="caption"/>
    <w:basedOn w:val="Normal"/>
    <w:next w:val="Normal"/>
    <w:qFormat/>
    <w:rsid w:val="0075420D"/>
    <w:pPr>
      <w:widowControl/>
      <w:autoSpaceDE/>
      <w:autoSpaceDN/>
      <w:spacing w:before="120" w:after="120"/>
    </w:pPr>
    <w:rPr>
      <w:rFonts w:ascii="Times New Roman" w:eastAsia="PMingLiU" w:hAnsi="Times New Roman" w:cs="Times New Roman"/>
      <w:b/>
      <w:bCs/>
      <w:sz w:val="20"/>
      <w:szCs w:val="20"/>
    </w:rPr>
  </w:style>
  <w:style w:type="character" w:customStyle="1" w:styleId="ClosingChar">
    <w:name w:val="Closing Char"/>
    <w:basedOn w:val="DefaultParagraphFont"/>
    <w:link w:val="Closing"/>
    <w:semiHidden/>
    <w:rsid w:val="0075420D"/>
    <w:rPr>
      <w:rFonts w:ascii="Times New Roman" w:eastAsia="PMingLiU" w:hAnsi="Times New Roman" w:cs="Times New Roman"/>
      <w:sz w:val="24"/>
      <w:szCs w:val="24"/>
    </w:rPr>
  </w:style>
  <w:style w:type="paragraph" w:styleId="Closing">
    <w:name w:val="Closing"/>
    <w:basedOn w:val="Normal"/>
    <w:link w:val="ClosingChar"/>
    <w:semiHidden/>
    <w:rsid w:val="0075420D"/>
    <w:pPr>
      <w:widowControl/>
      <w:autoSpaceDE/>
      <w:autoSpaceDN/>
      <w:ind w:left="4320"/>
    </w:pPr>
    <w:rPr>
      <w:rFonts w:ascii="Times New Roman" w:eastAsia="PMingLiU" w:hAnsi="Times New Roman" w:cs="Times New Roman"/>
      <w:sz w:val="24"/>
      <w:szCs w:val="24"/>
    </w:rPr>
  </w:style>
  <w:style w:type="paragraph" w:styleId="CommentText">
    <w:name w:val="annotation text"/>
    <w:basedOn w:val="Normal"/>
    <w:link w:val="CommentTextChar"/>
    <w:uiPriority w:val="99"/>
    <w:rsid w:val="0075420D"/>
    <w:pPr>
      <w:widowControl/>
      <w:autoSpaceDE/>
      <w:autoSpaceDN/>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rsid w:val="0075420D"/>
    <w:rPr>
      <w:rFonts w:ascii="Times New Roman" w:eastAsia="PMingLiU" w:hAnsi="Times New Roman" w:cs="Times New Roman"/>
      <w:sz w:val="20"/>
      <w:szCs w:val="20"/>
    </w:rPr>
  </w:style>
  <w:style w:type="character" w:customStyle="1" w:styleId="DateChar">
    <w:name w:val="Date Char"/>
    <w:basedOn w:val="DefaultParagraphFont"/>
    <w:link w:val="Date"/>
    <w:semiHidden/>
    <w:rsid w:val="0075420D"/>
    <w:rPr>
      <w:rFonts w:ascii="Times New Roman" w:eastAsia="PMingLiU" w:hAnsi="Times New Roman" w:cs="Times New Roman"/>
      <w:sz w:val="24"/>
      <w:szCs w:val="24"/>
    </w:rPr>
  </w:style>
  <w:style w:type="paragraph" w:styleId="Date">
    <w:name w:val="Date"/>
    <w:basedOn w:val="Normal"/>
    <w:next w:val="Normal"/>
    <w:link w:val="DateChar"/>
    <w:semiHidden/>
    <w:rsid w:val="0075420D"/>
    <w:pPr>
      <w:widowControl/>
      <w:autoSpaceDE/>
      <w:autoSpaceDN/>
    </w:pPr>
    <w:rPr>
      <w:rFonts w:ascii="Times New Roman" w:eastAsia="PMingLiU" w:hAnsi="Times New Roman" w:cs="Times New Roman"/>
      <w:sz w:val="24"/>
      <w:szCs w:val="24"/>
    </w:rPr>
  </w:style>
  <w:style w:type="character" w:customStyle="1" w:styleId="DocumentMapChar">
    <w:name w:val="Document Map Char"/>
    <w:basedOn w:val="DefaultParagraphFont"/>
    <w:link w:val="DocumentMap"/>
    <w:semiHidden/>
    <w:rsid w:val="0075420D"/>
    <w:rPr>
      <w:rFonts w:ascii="Tahoma" w:eastAsia="PMingLiU" w:hAnsi="Tahoma" w:cs="Tahoma"/>
      <w:sz w:val="24"/>
      <w:szCs w:val="24"/>
      <w:shd w:val="clear" w:color="auto" w:fill="000080"/>
    </w:rPr>
  </w:style>
  <w:style w:type="paragraph" w:styleId="DocumentMap">
    <w:name w:val="Document Map"/>
    <w:basedOn w:val="Normal"/>
    <w:link w:val="DocumentMapChar"/>
    <w:semiHidden/>
    <w:rsid w:val="0075420D"/>
    <w:pPr>
      <w:widowControl/>
      <w:shd w:val="clear" w:color="auto" w:fill="000080"/>
      <w:autoSpaceDE/>
      <w:autoSpaceDN/>
    </w:pPr>
    <w:rPr>
      <w:rFonts w:ascii="Tahoma" w:eastAsia="PMingLiU" w:hAnsi="Tahoma" w:cs="Tahoma"/>
      <w:sz w:val="24"/>
      <w:szCs w:val="24"/>
    </w:rPr>
  </w:style>
  <w:style w:type="character" w:customStyle="1" w:styleId="E-mailSignatureChar">
    <w:name w:val="E-mail Signature Char"/>
    <w:basedOn w:val="DefaultParagraphFont"/>
    <w:link w:val="E-mailSignature"/>
    <w:semiHidden/>
    <w:rsid w:val="0075420D"/>
    <w:rPr>
      <w:rFonts w:ascii="Times New Roman" w:eastAsia="PMingLiU" w:hAnsi="Times New Roman" w:cs="Times New Roman"/>
      <w:sz w:val="24"/>
      <w:szCs w:val="24"/>
    </w:rPr>
  </w:style>
  <w:style w:type="paragraph" w:styleId="E-mailSignature">
    <w:name w:val="E-mail Signature"/>
    <w:basedOn w:val="Normal"/>
    <w:link w:val="E-mailSignatureChar"/>
    <w:semiHidden/>
    <w:rsid w:val="0075420D"/>
    <w:pPr>
      <w:widowControl/>
      <w:autoSpaceDE/>
      <w:autoSpaceDN/>
    </w:pPr>
    <w:rPr>
      <w:rFonts w:ascii="Times New Roman" w:eastAsia="PMingLiU" w:hAnsi="Times New Roman" w:cs="Times New Roman"/>
      <w:sz w:val="24"/>
      <w:szCs w:val="24"/>
    </w:rPr>
  </w:style>
  <w:style w:type="character" w:customStyle="1" w:styleId="EndnoteTextChar">
    <w:name w:val="Endnote Text Char"/>
    <w:basedOn w:val="DefaultParagraphFont"/>
    <w:link w:val="EndnoteText"/>
    <w:semiHidden/>
    <w:rsid w:val="0075420D"/>
    <w:rPr>
      <w:rFonts w:ascii="Times New Roman" w:eastAsia="PMingLiU" w:hAnsi="Times New Roman" w:cs="Times New Roman"/>
      <w:sz w:val="20"/>
      <w:szCs w:val="20"/>
    </w:rPr>
  </w:style>
  <w:style w:type="paragraph" w:styleId="EndnoteText">
    <w:name w:val="endnote text"/>
    <w:basedOn w:val="Normal"/>
    <w:link w:val="EndnoteTextChar"/>
    <w:semiHidden/>
    <w:rsid w:val="0075420D"/>
    <w:pPr>
      <w:widowControl/>
      <w:autoSpaceDE/>
      <w:autoSpaceDN/>
    </w:pPr>
    <w:rPr>
      <w:rFonts w:ascii="Times New Roman" w:eastAsia="PMingLiU" w:hAnsi="Times New Roman" w:cs="Times New Roman"/>
      <w:sz w:val="20"/>
      <w:szCs w:val="20"/>
    </w:rPr>
  </w:style>
  <w:style w:type="character" w:customStyle="1" w:styleId="FootnoteTextChar">
    <w:name w:val="Footnote Text Char"/>
    <w:basedOn w:val="DefaultParagraphFont"/>
    <w:link w:val="FootnoteText"/>
    <w:semiHidden/>
    <w:rsid w:val="0075420D"/>
    <w:rPr>
      <w:rFonts w:ascii="Times New Roman" w:eastAsia="PMingLiU" w:hAnsi="Times New Roman" w:cs="Times New Roman"/>
      <w:sz w:val="20"/>
      <w:szCs w:val="20"/>
    </w:rPr>
  </w:style>
  <w:style w:type="paragraph" w:styleId="FootnoteText">
    <w:name w:val="footnote text"/>
    <w:basedOn w:val="Normal"/>
    <w:link w:val="FootnoteTextChar"/>
    <w:semiHidden/>
    <w:rsid w:val="0075420D"/>
    <w:pPr>
      <w:widowControl/>
      <w:autoSpaceDE/>
      <w:autoSpaceDN/>
    </w:pPr>
    <w:rPr>
      <w:rFonts w:ascii="Times New Roman" w:eastAsia="PMingLiU" w:hAnsi="Times New Roman" w:cs="Times New Roman"/>
      <w:sz w:val="20"/>
      <w:szCs w:val="20"/>
    </w:rPr>
  </w:style>
  <w:style w:type="character" w:customStyle="1" w:styleId="HTMLAddressChar">
    <w:name w:val="HTML Address Char"/>
    <w:basedOn w:val="DefaultParagraphFont"/>
    <w:link w:val="HTMLAddress"/>
    <w:semiHidden/>
    <w:rsid w:val="0075420D"/>
    <w:rPr>
      <w:rFonts w:ascii="Times New Roman" w:eastAsia="PMingLiU" w:hAnsi="Times New Roman" w:cs="Times New Roman"/>
      <w:i/>
      <w:iCs/>
      <w:sz w:val="24"/>
      <w:szCs w:val="24"/>
    </w:rPr>
  </w:style>
  <w:style w:type="paragraph" w:styleId="HTMLAddress">
    <w:name w:val="HTML Address"/>
    <w:basedOn w:val="Normal"/>
    <w:link w:val="HTMLAddressChar"/>
    <w:semiHidden/>
    <w:rsid w:val="0075420D"/>
    <w:pPr>
      <w:widowControl/>
      <w:autoSpaceDE/>
      <w:autoSpaceDN/>
    </w:pPr>
    <w:rPr>
      <w:rFonts w:ascii="Times New Roman" w:eastAsia="PMingLiU" w:hAnsi="Times New Roman" w:cs="Times New Roman"/>
      <w:i/>
      <w:iCs/>
      <w:sz w:val="24"/>
      <w:szCs w:val="24"/>
    </w:rPr>
  </w:style>
  <w:style w:type="character" w:customStyle="1" w:styleId="HTMLPreformattedChar">
    <w:name w:val="HTML Preformatted Char"/>
    <w:basedOn w:val="DefaultParagraphFont"/>
    <w:link w:val="HTMLPreformatted"/>
    <w:semiHidden/>
    <w:rsid w:val="0075420D"/>
    <w:rPr>
      <w:rFonts w:ascii="Courier New" w:eastAsia="PMingLiU" w:hAnsi="Courier New" w:cs="Courier New"/>
      <w:sz w:val="20"/>
      <w:szCs w:val="20"/>
    </w:rPr>
  </w:style>
  <w:style w:type="paragraph" w:styleId="HTMLPreformatted">
    <w:name w:val="HTML Preformatted"/>
    <w:basedOn w:val="Normal"/>
    <w:link w:val="HTMLPreformattedChar"/>
    <w:semiHidden/>
    <w:rsid w:val="0075420D"/>
    <w:pPr>
      <w:widowControl/>
      <w:autoSpaceDE/>
      <w:autoSpaceDN/>
    </w:pPr>
    <w:rPr>
      <w:rFonts w:ascii="Courier New" w:eastAsia="PMingLiU" w:hAnsi="Courier New" w:cs="Courier New"/>
      <w:sz w:val="20"/>
      <w:szCs w:val="20"/>
    </w:rPr>
  </w:style>
  <w:style w:type="paragraph" w:styleId="ListBullet">
    <w:name w:val="List Bullet"/>
    <w:basedOn w:val="Normal"/>
    <w:autoRedefine/>
    <w:semiHidden/>
    <w:rsid w:val="0075420D"/>
    <w:pPr>
      <w:widowControl/>
      <w:numPr>
        <w:numId w:val="7"/>
      </w:numPr>
      <w:autoSpaceDE/>
      <w:autoSpaceDN/>
    </w:pPr>
    <w:rPr>
      <w:rFonts w:ascii="Times New Roman" w:eastAsia="PMingLiU" w:hAnsi="Times New Roman" w:cs="Times New Roman"/>
      <w:sz w:val="24"/>
      <w:szCs w:val="24"/>
    </w:rPr>
  </w:style>
  <w:style w:type="paragraph" w:styleId="ListBullet2">
    <w:name w:val="List Bullet 2"/>
    <w:basedOn w:val="Normal"/>
    <w:autoRedefine/>
    <w:semiHidden/>
    <w:rsid w:val="0075420D"/>
    <w:pPr>
      <w:widowControl/>
      <w:numPr>
        <w:numId w:val="8"/>
      </w:numPr>
      <w:autoSpaceDE/>
      <w:autoSpaceDN/>
    </w:pPr>
    <w:rPr>
      <w:rFonts w:ascii="Times New Roman" w:eastAsia="PMingLiU" w:hAnsi="Times New Roman" w:cs="Times New Roman"/>
      <w:sz w:val="24"/>
      <w:szCs w:val="24"/>
    </w:rPr>
  </w:style>
  <w:style w:type="paragraph" w:styleId="ListBullet3">
    <w:name w:val="List Bullet 3"/>
    <w:basedOn w:val="Normal"/>
    <w:autoRedefine/>
    <w:semiHidden/>
    <w:rsid w:val="0075420D"/>
    <w:pPr>
      <w:widowControl/>
      <w:numPr>
        <w:numId w:val="9"/>
      </w:numPr>
      <w:autoSpaceDE/>
      <w:autoSpaceDN/>
    </w:pPr>
    <w:rPr>
      <w:rFonts w:ascii="Times New Roman" w:eastAsia="PMingLiU" w:hAnsi="Times New Roman" w:cs="Times New Roman"/>
      <w:sz w:val="24"/>
      <w:szCs w:val="24"/>
    </w:rPr>
  </w:style>
  <w:style w:type="paragraph" w:styleId="ListBullet4">
    <w:name w:val="List Bullet 4"/>
    <w:basedOn w:val="Normal"/>
    <w:autoRedefine/>
    <w:semiHidden/>
    <w:rsid w:val="0075420D"/>
    <w:pPr>
      <w:widowControl/>
      <w:numPr>
        <w:numId w:val="10"/>
      </w:numPr>
      <w:autoSpaceDE/>
      <w:autoSpaceDN/>
    </w:pPr>
    <w:rPr>
      <w:rFonts w:ascii="Times New Roman" w:eastAsia="PMingLiU" w:hAnsi="Times New Roman" w:cs="Times New Roman"/>
      <w:sz w:val="24"/>
      <w:szCs w:val="24"/>
    </w:rPr>
  </w:style>
  <w:style w:type="paragraph" w:styleId="ListBullet5">
    <w:name w:val="List Bullet 5"/>
    <w:basedOn w:val="Normal"/>
    <w:autoRedefine/>
    <w:semiHidden/>
    <w:rsid w:val="0075420D"/>
    <w:pPr>
      <w:widowControl/>
      <w:numPr>
        <w:numId w:val="11"/>
      </w:numPr>
      <w:autoSpaceDE/>
      <w:autoSpaceDN/>
    </w:pPr>
    <w:rPr>
      <w:rFonts w:ascii="Times New Roman" w:eastAsia="PMingLiU" w:hAnsi="Times New Roman" w:cs="Times New Roman"/>
      <w:sz w:val="24"/>
      <w:szCs w:val="24"/>
    </w:rPr>
  </w:style>
  <w:style w:type="paragraph" w:styleId="ListNumber">
    <w:name w:val="List Number"/>
    <w:basedOn w:val="Normal"/>
    <w:semiHidden/>
    <w:rsid w:val="0075420D"/>
    <w:pPr>
      <w:widowControl/>
      <w:numPr>
        <w:numId w:val="12"/>
      </w:numPr>
      <w:autoSpaceDE/>
      <w:autoSpaceDN/>
    </w:pPr>
    <w:rPr>
      <w:rFonts w:ascii="Times New Roman" w:eastAsia="PMingLiU" w:hAnsi="Times New Roman" w:cs="Times New Roman"/>
      <w:sz w:val="24"/>
      <w:szCs w:val="24"/>
    </w:rPr>
  </w:style>
  <w:style w:type="paragraph" w:styleId="ListNumber2">
    <w:name w:val="List Number 2"/>
    <w:basedOn w:val="Normal"/>
    <w:semiHidden/>
    <w:rsid w:val="0075420D"/>
    <w:pPr>
      <w:widowControl/>
      <w:numPr>
        <w:numId w:val="13"/>
      </w:numPr>
      <w:autoSpaceDE/>
      <w:autoSpaceDN/>
    </w:pPr>
    <w:rPr>
      <w:rFonts w:ascii="Times New Roman" w:eastAsia="PMingLiU" w:hAnsi="Times New Roman" w:cs="Times New Roman"/>
      <w:sz w:val="24"/>
      <w:szCs w:val="24"/>
    </w:rPr>
  </w:style>
  <w:style w:type="paragraph" w:styleId="ListNumber3">
    <w:name w:val="List Number 3"/>
    <w:basedOn w:val="Normal"/>
    <w:semiHidden/>
    <w:rsid w:val="0075420D"/>
    <w:pPr>
      <w:widowControl/>
      <w:numPr>
        <w:numId w:val="14"/>
      </w:numPr>
      <w:autoSpaceDE/>
      <w:autoSpaceDN/>
    </w:pPr>
    <w:rPr>
      <w:rFonts w:ascii="Times New Roman" w:eastAsia="PMingLiU" w:hAnsi="Times New Roman" w:cs="Times New Roman"/>
      <w:sz w:val="24"/>
      <w:szCs w:val="24"/>
    </w:rPr>
  </w:style>
  <w:style w:type="paragraph" w:styleId="ListNumber4">
    <w:name w:val="List Number 4"/>
    <w:basedOn w:val="Normal"/>
    <w:semiHidden/>
    <w:rsid w:val="0075420D"/>
    <w:pPr>
      <w:widowControl/>
      <w:numPr>
        <w:numId w:val="15"/>
      </w:numPr>
      <w:autoSpaceDE/>
      <w:autoSpaceDN/>
    </w:pPr>
    <w:rPr>
      <w:rFonts w:ascii="Times New Roman" w:eastAsia="PMingLiU" w:hAnsi="Times New Roman" w:cs="Times New Roman"/>
      <w:sz w:val="24"/>
      <w:szCs w:val="24"/>
    </w:rPr>
  </w:style>
  <w:style w:type="paragraph" w:styleId="ListNumber5">
    <w:name w:val="List Number 5"/>
    <w:basedOn w:val="Normal"/>
    <w:semiHidden/>
    <w:rsid w:val="0075420D"/>
    <w:pPr>
      <w:widowControl/>
      <w:numPr>
        <w:numId w:val="16"/>
      </w:numPr>
      <w:autoSpaceDE/>
      <w:autoSpaceDN/>
    </w:pPr>
    <w:rPr>
      <w:rFonts w:ascii="Times New Roman" w:eastAsia="PMingLiU" w:hAnsi="Times New Roman" w:cs="Times New Roman"/>
      <w:sz w:val="24"/>
      <w:szCs w:val="24"/>
    </w:rPr>
  </w:style>
  <w:style w:type="character" w:customStyle="1" w:styleId="MacroTextChar">
    <w:name w:val="Macro Text Char"/>
    <w:basedOn w:val="DefaultParagraphFont"/>
    <w:link w:val="MacroText"/>
    <w:semiHidden/>
    <w:rsid w:val="0075420D"/>
    <w:rPr>
      <w:rFonts w:ascii="Courier New" w:eastAsia="PMingLiU" w:hAnsi="Courier New" w:cs="Courier New"/>
      <w:sz w:val="20"/>
      <w:szCs w:val="20"/>
    </w:rPr>
  </w:style>
  <w:style w:type="paragraph" w:styleId="MacroText">
    <w:name w:val="macro"/>
    <w:link w:val="MacroTextChar"/>
    <w:semiHidden/>
    <w:rsid w:val="0075420D"/>
    <w:pPr>
      <w:widowControl/>
      <w:tabs>
        <w:tab w:val="left" w:pos="480"/>
        <w:tab w:val="left" w:pos="960"/>
        <w:tab w:val="left" w:pos="1440"/>
        <w:tab w:val="left" w:pos="1920"/>
        <w:tab w:val="left" w:pos="2400"/>
        <w:tab w:val="left" w:pos="2880"/>
        <w:tab w:val="left" w:pos="3360"/>
        <w:tab w:val="left" w:pos="3840"/>
        <w:tab w:val="left" w:pos="4320"/>
      </w:tabs>
      <w:autoSpaceDE/>
      <w:autoSpaceDN/>
    </w:pPr>
    <w:rPr>
      <w:rFonts w:ascii="Courier New" w:eastAsia="PMingLiU" w:hAnsi="Courier New" w:cs="Courier New"/>
      <w:sz w:val="20"/>
      <w:szCs w:val="20"/>
    </w:rPr>
  </w:style>
  <w:style w:type="character" w:customStyle="1" w:styleId="MessageHeaderChar">
    <w:name w:val="Message Header Char"/>
    <w:basedOn w:val="DefaultParagraphFont"/>
    <w:link w:val="MessageHeader"/>
    <w:semiHidden/>
    <w:rsid w:val="0075420D"/>
    <w:rPr>
      <w:rFonts w:ascii="Arial" w:eastAsia="PMingLiU" w:hAnsi="Arial" w:cs="Arial"/>
      <w:sz w:val="24"/>
      <w:szCs w:val="24"/>
      <w:shd w:val="pct20" w:color="auto" w:fill="auto"/>
    </w:rPr>
  </w:style>
  <w:style w:type="paragraph" w:styleId="MessageHeader">
    <w:name w:val="Message Header"/>
    <w:basedOn w:val="Normal"/>
    <w:link w:val="MessageHeaderChar"/>
    <w:semiHidden/>
    <w:rsid w:val="0075420D"/>
    <w:pPr>
      <w:widowControl/>
      <w:pBdr>
        <w:top w:val="single" w:sz="6" w:space="1" w:color="auto"/>
        <w:left w:val="single" w:sz="6" w:space="1" w:color="auto"/>
        <w:bottom w:val="single" w:sz="6" w:space="1" w:color="auto"/>
        <w:right w:val="single" w:sz="6" w:space="1" w:color="auto"/>
      </w:pBdr>
      <w:shd w:val="pct20" w:color="auto" w:fill="auto"/>
      <w:autoSpaceDE/>
      <w:autoSpaceDN/>
      <w:ind w:left="1080" w:hanging="1080"/>
    </w:pPr>
    <w:rPr>
      <w:rFonts w:ascii="Arial" w:eastAsia="PMingLiU" w:hAnsi="Arial" w:cs="Arial"/>
      <w:sz w:val="24"/>
      <w:szCs w:val="24"/>
    </w:rPr>
  </w:style>
  <w:style w:type="character" w:customStyle="1" w:styleId="NoteHeadingChar">
    <w:name w:val="Note Heading Char"/>
    <w:basedOn w:val="DefaultParagraphFont"/>
    <w:link w:val="NoteHeading"/>
    <w:semiHidden/>
    <w:rsid w:val="0075420D"/>
    <w:rPr>
      <w:rFonts w:ascii="Times New Roman" w:eastAsia="PMingLiU" w:hAnsi="Times New Roman" w:cs="Times New Roman"/>
      <w:sz w:val="24"/>
      <w:szCs w:val="24"/>
    </w:rPr>
  </w:style>
  <w:style w:type="paragraph" w:styleId="NoteHeading">
    <w:name w:val="Note Heading"/>
    <w:basedOn w:val="Normal"/>
    <w:next w:val="Normal"/>
    <w:link w:val="NoteHeadingChar"/>
    <w:semiHidden/>
    <w:rsid w:val="0075420D"/>
    <w:pPr>
      <w:widowControl/>
      <w:autoSpaceDE/>
      <w:autoSpaceDN/>
    </w:pPr>
    <w:rPr>
      <w:rFonts w:ascii="Times New Roman" w:eastAsia="PMingLiU" w:hAnsi="Times New Roman" w:cs="Times New Roman"/>
      <w:sz w:val="24"/>
      <w:szCs w:val="24"/>
    </w:rPr>
  </w:style>
  <w:style w:type="character" w:customStyle="1" w:styleId="PlainTextChar">
    <w:name w:val="Plain Text Char"/>
    <w:basedOn w:val="DefaultParagraphFont"/>
    <w:link w:val="PlainText"/>
    <w:semiHidden/>
    <w:rsid w:val="0075420D"/>
    <w:rPr>
      <w:rFonts w:ascii="Courier New" w:eastAsia="PMingLiU" w:hAnsi="Courier New" w:cs="Courier New"/>
      <w:sz w:val="20"/>
      <w:szCs w:val="20"/>
    </w:rPr>
  </w:style>
  <w:style w:type="paragraph" w:styleId="PlainText">
    <w:name w:val="Plain Text"/>
    <w:basedOn w:val="Normal"/>
    <w:link w:val="PlainTextChar"/>
    <w:semiHidden/>
    <w:rsid w:val="0075420D"/>
    <w:pPr>
      <w:widowControl/>
      <w:autoSpaceDE/>
      <w:autoSpaceDN/>
    </w:pPr>
    <w:rPr>
      <w:rFonts w:ascii="Courier New" w:eastAsia="PMingLiU" w:hAnsi="Courier New" w:cs="Courier New"/>
      <w:sz w:val="20"/>
      <w:szCs w:val="20"/>
    </w:rPr>
  </w:style>
  <w:style w:type="character" w:customStyle="1" w:styleId="SalutationChar">
    <w:name w:val="Salutation Char"/>
    <w:basedOn w:val="DefaultParagraphFont"/>
    <w:link w:val="Salutation"/>
    <w:semiHidden/>
    <w:rsid w:val="0075420D"/>
    <w:rPr>
      <w:rFonts w:ascii="Times New Roman" w:eastAsia="PMingLiU" w:hAnsi="Times New Roman" w:cs="Times New Roman"/>
      <w:sz w:val="24"/>
      <w:szCs w:val="24"/>
    </w:rPr>
  </w:style>
  <w:style w:type="paragraph" w:styleId="Salutation">
    <w:name w:val="Salutation"/>
    <w:basedOn w:val="Normal"/>
    <w:next w:val="Normal"/>
    <w:link w:val="SalutationChar"/>
    <w:semiHidden/>
    <w:rsid w:val="0075420D"/>
    <w:pPr>
      <w:widowControl/>
      <w:autoSpaceDE/>
      <w:autoSpaceDN/>
    </w:pPr>
    <w:rPr>
      <w:rFonts w:ascii="Times New Roman" w:eastAsia="PMingLiU" w:hAnsi="Times New Roman" w:cs="Times New Roman"/>
      <w:sz w:val="24"/>
      <w:szCs w:val="24"/>
    </w:rPr>
  </w:style>
  <w:style w:type="character" w:customStyle="1" w:styleId="SignatureChar">
    <w:name w:val="Signature Char"/>
    <w:basedOn w:val="DefaultParagraphFont"/>
    <w:link w:val="Signature"/>
    <w:semiHidden/>
    <w:rsid w:val="0075420D"/>
    <w:rPr>
      <w:rFonts w:ascii="Times New Roman" w:eastAsia="PMingLiU" w:hAnsi="Times New Roman" w:cs="Times New Roman"/>
      <w:sz w:val="24"/>
      <w:szCs w:val="24"/>
    </w:rPr>
  </w:style>
  <w:style w:type="paragraph" w:styleId="Signature">
    <w:name w:val="Signature"/>
    <w:basedOn w:val="Normal"/>
    <w:link w:val="SignatureChar"/>
    <w:semiHidden/>
    <w:rsid w:val="0075420D"/>
    <w:pPr>
      <w:widowControl/>
      <w:autoSpaceDE/>
      <w:autoSpaceDN/>
      <w:ind w:left="4320"/>
    </w:pPr>
    <w:rPr>
      <w:rFonts w:ascii="Times New Roman" w:eastAsia="PMingLiU" w:hAnsi="Times New Roman" w:cs="Times New Roman"/>
      <w:sz w:val="24"/>
      <w:szCs w:val="24"/>
    </w:rPr>
  </w:style>
  <w:style w:type="paragraph" w:styleId="Subtitle">
    <w:name w:val="Subtitle"/>
    <w:basedOn w:val="Normal"/>
    <w:link w:val="SubtitleChar"/>
    <w:qFormat/>
    <w:rsid w:val="0075420D"/>
    <w:pPr>
      <w:widowControl/>
      <w:autoSpaceDE/>
      <w:autoSpaceDN/>
      <w:spacing w:after="60"/>
      <w:jc w:val="center"/>
      <w:outlineLvl w:val="1"/>
    </w:pPr>
    <w:rPr>
      <w:rFonts w:ascii="Arial" w:eastAsia="PMingLiU" w:hAnsi="Arial" w:cs="Arial"/>
      <w:sz w:val="24"/>
      <w:szCs w:val="24"/>
    </w:rPr>
  </w:style>
  <w:style w:type="character" w:customStyle="1" w:styleId="SubtitleChar">
    <w:name w:val="Subtitle Char"/>
    <w:basedOn w:val="DefaultParagraphFont"/>
    <w:link w:val="Subtitle"/>
    <w:rsid w:val="0075420D"/>
    <w:rPr>
      <w:rFonts w:ascii="Arial" w:eastAsia="PMingLiU" w:hAnsi="Arial" w:cs="Arial"/>
      <w:sz w:val="24"/>
      <w:szCs w:val="24"/>
    </w:rPr>
  </w:style>
  <w:style w:type="paragraph" w:styleId="Title">
    <w:name w:val="Title"/>
    <w:basedOn w:val="Normal"/>
    <w:link w:val="TitleChar"/>
    <w:qFormat/>
    <w:rsid w:val="0075420D"/>
    <w:pPr>
      <w:widowControl/>
      <w:autoSpaceDE/>
      <w:autoSpaceDN/>
      <w:spacing w:before="240" w:after="60"/>
      <w:jc w:val="center"/>
      <w:outlineLvl w:val="0"/>
    </w:pPr>
    <w:rPr>
      <w:rFonts w:ascii="Arial" w:eastAsia="PMingLiU" w:hAnsi="Arial" w:cs="Arial"/>
      <w:b/>
      <w:bCs/>
      <w:kern w:val="28"/>
      <w:sz w:val="32"/>
      <w:szCs w:val="32"/>
    </w:rPr>
  </w:style>
  <w:style w:type="character" w:customStyle="1" w:styleId="TitleChar">
    <w:name w:val="Title Char"/>
    <w:basedOn w:val="DefaultParagraphFont"/>
    <w:link w:val="Title"/>
    <w:rsid w:val="0075420D"/>
    <w:rPr>
      <w:rFonts w:ascii="Arial" w:eastAsia="PMingLiU" w:hAnsi="Arial" w:cs="Arial"/>
      <w:b/>
      <w:bCs/>
      <w:kern w:val="28"/>
      <w:sz w:val="32"/>
      <w:szCs w:val="32"/>
    </w:rPr>
  </w:style>
  <w:style w:type="paragraph" w:customStyle="1" w:styleId="Ne3">
    <w:name w:val="Ne3"/>
    <w:basedOn w:val="Normal"/>
    <w:rsid w:val="0075420D"/>
    <w:pPr>
      <w:widowControl/>
      <w:overflowPunct w:val="0"/>
      <w:adjustRightInd w:val="0"/>
      <w:spacing w:before="120" w:line="280" w:lineRule="atLeast"/>
      <w:ind w:left="720"/>
      <w:jc w:val="both"/>
      <w:textAlignment w:val="baseline"/>
    </w:pPr>
    <w:rPr>
      <w:rFonts w:ascii="Arial" w:eastAsia="PMingLiU" w:hAnsi="Arial" w:cs="Times New Roman"/>
      <w:sz w:val="20"/>
      <w:szCs w:val="20"/>
    </w:rPr>
  </w:style>
  <w:style w:type="paragraph" w:customStyle="1" w:styleId="Default">
    <w:name w:val="Default"/>
    <w:rsid w:val="0075420D"/>
    <w:pPr>
      <w:widowControl/>
      <w:adjustRightInd w:val="0"/>
    </w:pPr>
    <w:rPr>
      <w:rFonts w:ascii="Times New Roman" w:eastAsia="PMingLiU" w:hAnsi="Times New Roman" w:cs="Times New Roman"/>
      <w:color w:val="000000"/>
      <w:sz w:val="24"/>
      <w:szCs w:val="24"/>
    </w:rPr>
  </w:style>
  <w:style w:type="character" w:customStyle="1" w:styleId="Heading3Char">
    <w:name w:val="Heading 3 Char"/>
    <w:rsid w:val="0075420D"/>
    <w:rPr>
      <w:b/>
      <w:bCs/>
      <w:sz w:val="22"/>
      <w:szCs w:val="24"/>
      <w:lang w:val="en-GB"/>
    </w:rPr>
  </w:style>
  <w:style w:type="paragraph" w:customStyle="1" w:styleId="AuditBody">
    <w:name w:val="AuditBody"/>
    <w:aliases w:val="ab"/>
    <w:basedOn w:val="Normal"/>
    <w:rsid w:val="0075420D"/>
    <w:pPr>
      <w:widowControl/>
      <w:overflowPunct w:val="0"/>
      <w:adjustRightInd w:val="0"/>
      <w:spacing w:before="120" w:line="280" w:lineRule="atLeast"/>
      <w:jc w:val="both"/>
      <w:textAlignment w:val="baseline"/>
    </w:pPr>
    <w:rPr>
      <w:rFonts w:ascii="Helvetica" w:eastAsia="PMingLiU" w:hAnsi="Helvetica" w:cs="Times New Roman"/>
      <w:sz w:val="20"/>
      <w:szCs w:val="20"/>
    </w:rPr>
  </w:style>
  <w:style w:type="character" w:customStyle="1" w:styleId="CharChar19">
    <w:name w:val="Char Char19"/>
    <w:locked/>
    <w:rsid w:val="0075420D"/>
    <w:rPr>
      <w:rFonts w:ascii="Cambria" w:hAnsi="Cambria" w:cs="Cambria"/>
      <w:b/>
      <w:bCs/>
      <w:kern w:val="32"/>
      <w:sz w:val="32"/>
      <w:szCs w:val="32"/>
      <w:lang w:val="en-US" w:eastAsia="ar-SA" w:bidi="ar-SA"/>
    </w:rPr>
  </w:style>
  <w:style w:type="paragraph" w:customStyle="1" w:styleId="Indent1">
    <w:name w:val="Indent 1"/>
    <w:basedOn w:val="Normal"/>
    <w:link w:val="Indent1Char"/>
    <w:rsid w:val="0075420D"/>
    <w:pPr>
      <w:widowControl/>
      <w:autoSpaceDE/>
      <w:autoSpaceDN/>
      <w:spacing w:after="260" w:line="260" w:lineRule="atLeast"/>
      <w:ind w:left="431"/>
    </w:pPr>
    <w:rPr>
      <w:rFonts w:ascii="Times New Roman" w:eastAsia="PMingLiU" w:hAnsi="Times New Roman" w:cs="Times New Roman"/>
      <w:lang w:val="en-CA" w:eastAsia="x-none"/>
    </w:rPr>
  </w:style>
  <w:style w:type="character" w:customStyle="1" w:styleId="Indent1Char">
    <w:name w:val="Indent 1 Char"/>
    <w:link w:val="Indent1"/>
    <w:locked/>
    <w:rsid w:val="0075420D"/>
    <w:rPr>
      <w:rFonts w:ascii="Times New Roman" w:eastAsia="PMingLiU" w:hAnsi="Times New Roman" w:cs="Times New Roman"/>
      <w:lang w:val="en-CA" w:eastAsia="x-none"/>
    </w:rPr>
  </w:style>
  <w:style w:type="character" w:customStyle="1" w:styleId="DeltaViewInsertion">
    <w:name w:val="DeltaView Insertion"/>
    <w:rsid w:val="0075420D"/>
    <w:rPr>
      <w:color w:val="0000FF"/>
      <w:spacing w:val="0"/>
      <w:u w:val="double"/>
    </w:rPr>
  </w:style>
  <w:style w:type="paragraph" w:styleId="NoSpacing">
    <w:name w:val="No Spacing"/>
    <w:uiPriority w:val="1"/>
    <w:qFormat/>
    <w:rsid w:val="0075420D"/>
    <w:pPr>
      <w:adjustRightInd w:val="0"/>
    </w:pPr>
    <w:rPr>
      <w:rFonts w:ascii="Arial" w:eastAsia="PMingLiU" w:hAnsi="Arial" w:cs="Times New Roman"/>
      <w:sz w:val="20"/>
      <w:szCs w:val="24"/>
      <w:lang w:val="en-CA"/>
    </w:rPr>
  </w:style>
  <w:style w:type="paragraph" w:customStyle="1" w:styleId="Style1">
    <w:name w:val="Style1"/>
    <w:basedOn w:val="Normal"/>
    <w:rsid w:val="0075420D"/>
    <w:pPr>
      <w:widowControl/>
      <w:autoSpaceDE/>
      <w:autoSpaceDN/>
      <w:jc w:val="both"/>
    </w:pPr>
    <w:rPr>
      <w:rFonts w:ascii="Times New Roman" w:eastAsia="PMingLiU" w:hAnsi="Times New Roman" w:cs="Times New Roman"/>
      <w:szCs w:val="20"/>
      <w:lang w:val="en-GB"/>
    </w:rPr>
  </w:style>
  <w:style w:type="character" w:styleId="CommentReference">
    <w:name w:val="annotation reference"/>
    <w:uiPriority w:val="99"/>
    <w:unhideWhenUsed/>
    <w:rsid w:val="0075420D"/>
    <w:rPr>
      <w:sz w:val="16"/>
      <w:szCs w:val="16"/>
    </w:rPr>
  </w:style>
  <w:style w:type="character" w:customStyle="1" w:styleId="CommentSubjectChar">
    <w:name w:val="Comment Subject Char"/>
    <w:basedOn w:val="CommentTextChar"/>
    <w:link w:val="CommentSubject"/>
    <w:uiPriority w:val="99"/>
    <w:semiHidden/>
    <w:rsid w:val="0075420D"/>
    <w:rPr>
      <w:rFonts w:ascii="Times New Roman" w:eastAsia="PMingLiU"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75420D"/>
    <w:rPr>
      <w:b/>
      <w:bCs/>
    </w:rPr>
  </w:style>
  <w:style w:type="paragraph" w:customStyle="1" w:styleId="dr">
    <w:name w:val="dr"/>
    <w:rsid w:val="0075420D"/>
    <w:pPr>
      <w:widowControl/>
      <w:autoSpaceDE/>
      <w:autoSpaceDN/>
      <w:jc w:val="both"/>
    </w:pPr>
    <w:rPr>
      <w:rFonts w:ascii="Times New Roman" w:eastAsia="PMingLiU" w:hAnsi="Times New Roman" w:cs="Times New Roman"/>
      <w:snapToGrid w:val="0"/>
      <w:szCs w:val="16"/>
      <w:u w:val="single"/>
      <w:lang w:val="en-GB"/>
    </w:rPr>
  </w:style>
  <w:style w:type="table" w:styleId="TableGrid">
    <w:name w:val="Table Grid"/>
    <w:basedOn w:val="TableNormal"/>
    <w:rsid w:val="0075420D"/>
    <w:pPr>
      <w:widowControl/>
      <w:autoSpaceDE/>
      <w:autoSpaceDN/>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1">
    <w:name w:val="Par. # 1"/>
    <w:basedOn w:val="Normal"/>
    <w:next w:val="Indent1"/>
    <w:link w:val="Par1Char"/>
    <w:rsid w:val="0075420D"/>
    <w:pPr>
      <w:keepNext/>
      <w:widowControl/>
      <w:numPr>
        <w:numId w:val="17"/>
      </w:numPr>
      <w:autoSpaceDE/>
      <w:autoSpaceDN/>
      <w:spacing w:after="290" w:line="290" w:lineRule="atLeast"/>
      <w:outlineLvl w:val="0"/>
    </w:pPr>
    <w:rPr>
      <w:rFonts w:ascii="Times New Roman" w:eastAsia="Times New Roman" w:hAnsi="Times New Roman" w:cs="Times New Roman"/>
      <w:b/>
      <w:bCs/>
      <w:sz w:val="24"/>
      <w:szCs w:val="24"/>
      <w:lang w:val="en-CA" w:eastAsia="x-none"/>
    </w:rPr>
  </w:style>
  <w:style w:type="character" w:customStyle="1" w:styleId="Par1Char">
    <w:name w:val="Par. # 1 Char"/>
    <w:link w:val="Par1"/>
    <w:locked/>
    <w:rsid w:val="0075420D"/>
    <w:rPr>
      <w:rFonts w:ascii="Times New Roman" w:eastAsia="Times New Roman" w:hAnsi="Times New Roman" w:cs="Times New Roman"/>
      <w:b/>
      <w:bCs/>
      <w:sz w:val="24"/>
      <w:szCs w:val="24"/>
      <w:lang w:val="en-CA" w:eastAsia="x-none"/>
    </w:rPr>
  </w:style>
  <w:style w:type="paragraph" w:customStyle="1" w:styleId="Par2">
    <w:name w:val="Par. # 2"/>
    <w:basedOn w:val="Par1"/>
    <w:next w:val="Normal"/>
    <w:rsid w:val="0075420D"/>
    <w:pPr>
      <w:numPr>
        <w:ilvl w:val="1"/>
      </w:numPr>
      <w:tabs>
        <w:tab w:val="clear" w:pos="972"/>
        <w:tab w:val="num" w:pos="360"/>
      </w:tabs>
      <w:spacing w:after="260" w:line="260" w:lineRule="atLeast"/>
      <w:ind w:left="360" w:hanging="360"/>
      <w:outlineLvl w:val="1"/>
    </w:pPr>
    <w:rPr>
      <w:b w:val="0"/>
      <w:bCs w:val="0"/>
    </w:rPr>
  </w:style>
  <w:style w:type="paragraph" w:customStyle="1" w:styleId="Par3">
    <w:name w:val="Par. # 3"/>
    <w:basedOn w:val="Par2"/>
    <w:next w:val="Normal"/>
    <w:rsid w:val="0075420D"/>
    <w:pPr>
      <w:numPr>
        <w:ilvl w:val="2"/>
      </w:numPr>
      <w:tabs>
        <w:tab w:val="clear" w:pos="1296"/>
        <w:tab w:val="num" w:pos="360"/>
      </w:tabs>
      <w:ind w:left="360" w:hanging="360"/>
      <w:outlineLvl w:val="2"/>
    </w:pPr>
    <w:rPr>
      <w:b/>
      <w:bCs/>
    </w:rPr>
  </w:style>
  <w:style w:type="paragraph" w:customStyle="1" w:styleId="Indent2">
    <w:name w:val="Indent 2"/>
    <w:basedOn w:val="Indent1"/>
    <w:rsid w:val="0075420D"/>
    <w:pPr>
      <w:ind w:left="864"/>
    </w:pPr>
    <w:rPr>
      <w:rFonts w:eastAsia="Times New Roman"/>
      <w:lang w:eastAsia="en-US"/>
    </w:rPr>
  </w:style>
  <w:style w:type="paragraph" w:customStyle="1" w:styleId="BodyText05">
    <w:name w:val="BodyText 0.5"/>
    <w:aliases w:val="B5"/>
    <w:basedOn w:val="BodyText"/>
    <w:rsid w:val="0075420D"/>
    <w:pPr>
      <w:widowControl/>
      <w:autoSpaceDE/>
      <w:autoSpaceDN/>
      <w:spacing w:after="240"/>
      <w:ind w:firstLine="720"/>
      <w:jc w:val="both"/>
    </w:pPr>
    <w:rPr>
      <w:rFonts w:ascii="Times New Roman" w:eastAsia="Times New Roman" w:hAnsi="Times New Roman" w:cs="Times New Roman"/>
      <w:sz w:val="22"/>
      <w:szCs w:val="24"/>
      <w:lang w:val="en-CA"/>
    </w:rPr>
  </w:style>
  <w:style w:type="character" w:customStyle="1" w:styleId="apple-converted-space">
    <w:name w:val="apple-converted-space"/>
    <w:basedOn w:val="DefaultParagraphFont"/>
    <w:rsid w:val="0075420D"/>
  </w:style>
  <w:style w:type="paragraph" w:customStyle="1" w:styleId="TableText">
    <w:name w:val="Table Text"/>
    <w:basedOn w:val="Normal"/>
    <w:rsid w:val="0075420D"/>
    <w:pPr>
      <w:widowControl/>
      <w:autoSpaceDE/>
      <w:autoSpaceDN/>
      <w:ind w:left="432" w:hanging="432"/>
    </w:pPr>
    <w:rPr>
      <w:rFonts w:ascii="Times New Roman" w:eastAsia="Times New Roman" w:hAnsi="Times New Roman" w:cs="Times New Roman"/>
      <w:lang w:val="en-CA"/>
    </w:rPr>
  </w:style>
  <w:style w:type="character" w:customStyle="1" w:styleId="CharBold">
    <w:name w:val="Char. Bold"/>
    <w:rsid w:val="0075420D"/>
    <w:rPr>
      <w:rFonts w:ascii="Times New Roman" w:hAnsi="Times New Roman" w:cs="Times New Roman"/>
      <w:b/>
      <w:bCs/>
      <w:sz w:val="24"/>
      <w:szCs w:val="24"/>
    </w:rPr>
  </w:style>
  <w:style w:type="paragraph" w:customStyle="1" w:styleId="BDPAg2">
    <w:name w:val="BDP_Ag2"/>
    <w:basedOn w:val="Normal"/>
    <w:rsid w:val="0075420D"/>
    <w:pPr>
      <w:keepNext/>
      <w:widowControl/>
      <w:autoSpaceDE/>
      <w:autoSpaceDN/>
      <w:spacing w:after="240"/>
      <w:jc w:val="both"/>
    </w:pPr>
    <w:rPr>
      <w:rFonts w:ascii="Times New Roman" w:eastAsia="Times New Roman" w:hAnsi="Times New Roman" w:cs="Times New Roman"/>
      <w:sz w:val="20"/>
      <w:szCs w:val="20"/>
    </w:rPr>
  </w:style>
  <w:style w:type="character" w:styleId="Emphasis">
    <w:name w:val="Emphasis"/>
    <w:basedOn w:val="DefaultParagraphFont"/>
    <w:uiPriority w:val="20"/>
    <w:qFormat/>
    <w:rsid w:val="0075420D"/>
    <w:rPr>
      <w:i/>
      <w:iCs/>
    </w:rPr>
  </w:style>
  <w:style w:type="paragraph" w:styleId="Revision">
    <w:name w:val="Revision"/>
    <w:hidden/>
    <w:uiPriority w:val="99"/>
    <w:semiHidden/>
    <w:rsid w:val="00E70AE4"/>
    <w:pPr>
      <w:widowControl/>
      <w:autoSpaceDE/>
      <w:autoSpaceDN/>
    </w:pPr>
    <w:rPr>
      <w:rFonts w:ascii="Arial Unicode MS" w:eastAsia="Arial Unicode MS" w:hAnsi="Arial Unicode MS" w:cs="Arial Unicode MS"/>
    </w:rPr>
  </w:style>
  <w:style w:type="paragraph" w:styleId="NormalWeb">
    <w:name w:val="Normal (Web)"/>
    <w:basedOn w:val="Normal"/>
    <w:uiPriority w:val="99"/>
    <w:semiHidden/>
    <w:unhideWhenUsed/>
    <w:rsid w:val="00063323"/>
    <w:rPr>
      <w:rFonts w:ascii="Times New Roman" w:hAnsi="Times New Roman" w:cs="Times New Roman"/>
      <w:sz w:val="24"/>
      <w:szCs w:val="24"/>
    </w:rPr>
  </w:style>
  <w:style w:type="table" w:customStyle="1" w:styleId="TableGrid1">
    <w:name w:val="Table Grid1"/>
    <w:basedOn w:val="TableNormal"/>
    <w:next w:val="TableGrid"/>
    <w:rsid w:val="006E5C00"/>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82DC9"/>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66122"/>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1555D"/>
    <w:rPr>
      <w:color w:val="605E5C"/>
      <w:shd w:val="clear" w:color="auto" w:fill="E1DFDD"/>
    </w:rPr>
  </w:style>
  <w:style w:type="character" w:styleId="FootnoteReference">
    <w:name w:val="footnote reference"/>
    <w:basedOn w:val="DefaultParagraphFont"/>
    <w:uiPriority w:val="99"/>
    <w:semiHidden/>
    <w:unhideWhenUsed/>
    <w:rsid w:val="00F978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1918">
      <w:bodyDiv w:val="1"/>
      <w:marLeft w:val="0"/>
      <w:marRight w:val="0"/>
      <w:marTop w:val="0"/>
      <w:marBottom w:val="0"/>
      <w:divBdr>
        <w:top w:val="none" w:sz="0" w:space="0" w:color="auto"/>
        <w:left w:val="none" w:sz="0" w:space="0" w:color="auto"/>
        <w:bottom w:val="none" w:sz="0" w:space="0" w:color="auto"/>
        <w:right w:val="none" w:sz="0" w:space="0" w:color="auto"/>
      </w:divBdr>
    </w:div>
    <w:div w:id="26411991">
      <w:bodyDiv w:val="1"/>
      <w:marLeft w:val="0"/>
      <w:marRight w:val="0"/>
      <w:marTop w:val="0"/>
      <w:marBottom w:val="0"/>
      <w:divBdr>
        <w:top w:val="none" w:sz="0" w:space="0" w:color="auto"/>
        <w:left w:val="none" w:sz="0" w:space="0" w:color="auto"/>
        <w:bottom w:val="none" w:sz="0" w:space="0" w:color="auto"/>
        <w:right w:val="none" w:sz="0" w:space="0" w:color="auto"/>
      </w:divBdr>
    </w:div>
    <w:div w:id="142934881">
      <w:bodyDiv w:val="1"/>
      <w:marLeft w:val="0"/>
      <w:marRight w:val="0"/>
      <w:marTop w:val="0"/>
      <w:marBottom w:val="0"/>
      <w:divBdr>
        <w:top w:val="none" w:sz="0" w:space="0" w:color="auto"/>
        <w:left w:val="none" w:sz="0" w:space="0" w:color="auto"/>
        <w:bottom w:val="none" w:sz="0" w:space="0" w:color="auto"/>
        <w:right w:val="none" w:sz="0" w:space="0" w:color="auto"/>
      </w:divBdr>
    </w:div>
    <w:div w:id="278731481">
      <w:bodyDiv w:val="1"/>
      <w:marLeft w:val="0"/>
      <w:marRight w:val="0"/>
      <w:marTop w:val="0"/>
      <w:marBottom w:val="0"/>
      <w:divBdr>
        <w:top w:val="none" w:sz="0" w:space="0" w:color="auto"/>
        <w:left w:val="none" w:sz="0" w:space="0" w:color="auto"/>
        <w:bottom w:val="none" w:sz="0" w:space="0" w:color="auto"/>
        <w:right w:val="none" w:sz="0" w:space="0" w:color="auto"/>
      </w:divBdr>
    </w:div>
    <w:div w:id="279991566">
      <w:bodyDiv w:val="1"/>
      <w:marLeft w:val="0"/>
      <w:marRight w:val="0"/>
      <w:marTop w:val="0"/>
      <w:marBottom w:val="0"/>
      <w:divBdr>
        <w:top w:val="none" w:sz="0" w:space="0" w:color="auto"/>
        <w:left w:val="none" w:sz="0" w:space="0" w:color="auto"/>
        <w:bottom w:val="none" w:sz="0" w:space="0" w:color="auto"/>
        <w:right w:val="none" w:sz="0" w:space="0" w:color="auto"/>
      </w:divBdr>
    </w:div>
    <w:div w:id="440995751">
      <w:bodyDiv w:val="1"/>
      <w:marLeft w:val="0"/>
      <w:marRight w:val="0"/>
      <w:marTop w:val="0"/>
      <w:marBottom w:val="0"/>
      <w:divBdr>
        <w:top w:val="none" w:sz="0" w:space="0" w:color="auto"/>
        <w:left w:val="none" w:sz="0" w:space="0" w:color="auto"/>
        <w:bottom w:val="none" w:sz="0" w:space="0" w:color="auto"/>
        <w:right w:val="none" w:sz="0" w:space="0" w:color="auto"/>
      </w:divBdr>
    </w:div>
    <w:div w:id="608124612">
      <w:bodyDiv w:val="1"/>
      <w:marLeft w:val="0"/>
      <w:marRight w:val="0"/>
      <w:marTop w:val="0"/>
      <w:marBottom w:val="0"/>
      <w:divBdr>
        <w:top w:val="none" w:sz="0" w:space="0" w:color="auto"/>
        <w:left w:val="none" w:sz="0" w:space="0" w:color="auto"/>
        <w:bottom w:val="none" w:sz="0" w:space="0" w:color="auto"/>
        <w:right w:val="none" w:sz="0" w:space="0" w:color="auto"/>
      </w:divBdr>
    </w:div>
    <w:div w:id="816532045">
      <w:bodyDiv w:val="1"/>
      <w:marLeft w:val="0"/>
      <w:marRight w:val="0"/>
      <w:marTop w:val="0"/>
      <w:marBottom w:val="0"/>
      <w:divBdr>
        <w:top w:val="none" w:sz="0" w:space="0" w:color="auto"/>
        <w:left w:val="none" w:sz="0" w:space="0" w:color="auto"/>
        <w:bottom w:val="none" w:sz="0" w:space="0" w:color="auto"/>
        <w:right w:val="none" w:sz="0" w:space="0" w:color="auto"/>
      </w:divBdr>
      <w:divsChild>
        <w:div w:id="284389683">
          <w:marLeft w:val="274"/>
          <w:marRight w:val="0"/>
          <w:marTop w:val="0"/>
          <w:marBottom w:val="0"/>
          <w:divBdr>
            <w:top w:val="none" w:sz="0" w:space="0" w:color="auto"/>
            <w:left w:val="none" w:sz="0" w:space="0" w:color="auto"/>
            <w:bottom w:val="none" w:sz="0" w:space="0" w:color="auto"/>
            <w:right w:val="none" w:sz="0" w:space="0" w:color="auto"/>
          </w:divBdr>
        </w:div>
        <w:div w:id="1216359370">
          <w:marLeft w:val="274"/>
          <w:marRight w:val="0"/>
          <w:marTop w:val="0"/>
          <w:marBottom w:val="0"/>
          <w:divBdr>
            <w:top w:val="none" w:sz="0" w:space="0" w:color="auto"/>
            <w:left w:val="none" w:sz="0" w:space="0" w:color="auto"/>
            <w:bottom w:val="none" w:sz="0" w:space="0" w:color="auto"/>
            <w:right w:val="none" w:sz="0" w:space="0" w:color="auto"/>
          </w:divBdr>
        </w:div>
        <w:div w:id="527645124">
          <w:marLeft w:val="274"/>
          <w:marRight w:val="0"/>
          <w:marTop w:val="0"/>
          <w:marBottom w:val="0"/>
          <w:divBdr>
            <w:top w:val="none" w:sz="0" w:space="0" w:color="auto"/>
            <w:left w:val="none" w:sz="0" w:space="0" w:color="auto"/>
            <w:bottom w:val="none" w:sz="0" w:space="0" w:color="auto"/>
            <w:right w:val="none" w:sz="0" w:space="0" w:color="auto"/>
          </w:divBdr>
        </w:div>
      </w:divsChild>
    </w:div>
    <w:div w:id="847059403">
      <w:bodyDiv w:val="1"/>
      <w:marLeft w:val="0"/>
      <w:marRight w:val="0"/>
      <w:marTop w:val="0"/>
      <w:marBottom w:val="0"/>
      <w:divBdr>
        <w:top w:val="none" w:sz="0" w:space="0" w:color="auto"/>
        <w:left w:val="none" w:sz="0" w:space="0" w:color="auto"/>
        <w:bottom w:val="none" w:sz="0" w:space="0" w:color="auto"/>
        <w:right w:val="none" w:sz="0" w:space="0" w:color="auto"/>
      </w:divBdr>
      <w:divsChild>
        <w:div w:id="2012751780">
          <w:marLeft w:val="274"/>
          <w:marRight w:val="0"/>
          <w:marTop w:val="0"/>
          <w:marBottom w:val="0"/>
          <w:divBdr>
            <w:top w:val="none" w:sz="0" w:space="0" w:color="auto"/>
            <w:left w:val="none" w:sz="0" w:space="0" w:color="auto"/>
            <w:bottom w:val="none" w:sz="0" w:space="0" w:color="auto"/>
            <w:right w:val="none" w:sz="0" w:space="0" w:color="auto"/>
          </w:divBdr>
        </w:div>
        <w:div w:id="47070143">
          <w:marLeft w:val="274"/>
          <w:marRight w:val="0"/>
          <w:marTop w:val="0"/>
          <w:marBottom w:val="0"/>
          <w:divBdr>
            <w:top w:val="none" w:sz="0" w:space="0" w:color="auto"/>
            <w:left w:val="none" w:sz="0" w:space="0" w:color="auto"/>
            <w:bottom w:val="none" w:sz="0" w:space="0" w:color="auto"/>
            <w:right w:val="none" w:sz="0" w:space="0" w:color="auto"/>
          </w:divBdr>
        </w:div>
        <w:div w:id="1519275552">
          <w:marLeft w:val="274"/>
          <w:marRight w:val="0"/>
          <w:marTop w:val="0"/>
          <w:marBottom w:val="0"/>
          <w:divBdr>
            <w:top w:val="none" w:sz="0" w:space="0" w:color="auto"/>
            <w:left w:val="none" w:sz="0" w:space="0" w:color="auto"/>
            <w:bottom w:val="none" w:sz="0" w:space="0" w:color="auto"/>
            <w:right w:val="none" w:sz="0" w:space="0" w:color="auto"/>
          </w:divBdr>
        </w:div>
        <w:div w:id="405110287">
          <w:marLeft w:val="274"/>
          <w:marRight w:val="0"/>
          <w:marTop w:val="0"/>
          <w:marBottom w:val="0"/>
          <w:divBdr>
            <w:top w:val="none" w:sz="0" w:space="0" w:color="auto"/>
            <w:left w:val="none" w:sz="0" w:space="0" w:color="auto"/>
            <w:bottom w:val="none" w:sz="0" w:space="0" w:color="auto"/>
            <w:right w:val="none" w:sz="0" w:space="0" w:color="auto"/>
          </w:divBdr>
        </w:div>
      </w:divsChild>
    </w:div>
    <w:div w:id="1068186167">
      <w:bodyDiv w:val="1"/>
      <w:marLeft w:val="0"/>
      <w:marRight w:val="0"/>
      <w:marTop w:val="0"/>
      <w:marBottom w:val="0"/>
      <w:divBdr>
        <w:top w:val="none" w:sz="0" w:space="0" w:color="auto"/>
        <w:left w:val="none" w:sz="0" w:space="0" w:color="auto"/>
        <w:bottom w:val="none" w:sz="0" w:space="0" w:color="auto"/>
        <w:right w:val="none" w:sz="0" w:space="0" w:color="auto"/>
      </w:divBdr>
    </w:div>
    <w:div w:id="1188450327">
      <w:bodyDiv w:val="1"/>
      <w:marLeft w:val="0"/>
      <w:marRight w:val="0"/>
      <w:marTop w:val="0"/>
      <w:marBottom w:val="0"/>
      <w:divBdr>
        <w:top w:val="none" w:sz="0" w:space="0" w:color="auto"/>
        <w:left w:val="none" w:sz="0" w:space="0" w:color="auto"/>
        <w:bottom w:val="none" w:sz="0" w:space="0" w:color="auto"/>
        <w:right w:val="none" w:sz="0" w:space="0" w:color="auto"/>
      </w:divBdr>
    </w:div>
    <w:div w:id="1478574020">
      <w:bodyDiv w:val="1"/>
      <w:marLeft w:val="0"/>
      <w:marRight w:val="0"/>
      <w:marTop w:val="0"/>
      <w:marBottom w:val="0"/>
      <w:divBdr>
        <w:top w:val="none" w:sz="0" w:space="0" w:color="auto"/>
        <w:left w:val="none" w:sz="0" w:space="0" w:color="auto"/>
        <w:bottom w:val="none" w:sz="0" w:space="0" w:color="auto"/>
        <w:right w:val="none" w:sz="0" w:space="0" w:color="auto"/>
      </w:divBdr>
    </w:div>
    <w:div w:id="1510559230">
      <w:bodyDiv w:val="1"/>
      <w:marLeft w:val="0"/>
      <w:marRight w:val="0"/>
      <w:marTop w:val="0"/>
      <w:marBottom w:val="0"/>
      <w:divBdr>
        <w:top w:val="none" w:sz="0" w:space="0" w:color="auto"/>
        <w:left w:val="none" w:sz="0" w:space="0" w:color="auto"/>
        <w:bottom w:val="none" w:sz="0" w:space="0" w:color="auto"/>
        <w:right w:val="none" w:sz="0" w:space="0" w:color="auto"/>
      </w:divBdr>
    </w:div>
    <w:div w:id="1565069638">
      <w:bodyDiv w:val="1"/>
      <w:marLeft w:val="0"/>
      <w:marRight w:val="0"/>
      <w:marTop w:val="0"/>
      <w:marBottom w:val="0"/>
      <w:divBdr>
        <w:top w:val="none" w:sz="0" w:space="0" w:color="auto"/>
        <w:left w:val="none" w:sz="0" w:space="0" w:color="auto"/>
        <w:bottom w:val="none" w:sz="0" w:space="0" w:color="auto"/>
        <w:right w:val="none" w:sz="0" w:space="0" w:color="auto"/>
      </w:divBdr>
    </w:div>
    <w:div w:id="1712417602">
      <w:bodyDiv w:val="1"/>
      <w:marLeft w:val="0"/>
      <w:marRight w:val="0"/>
      <w:marTop w:val="0"/>
      <w:marBottom w:val="0"/>
      <w:divBdr>
        <w:top w:val="none" w:sz="0" w:space="0" w:color="auto"/>
        <w:left w:val="none" w:sz="0" w:space="0" w:color="auto"/>
        <w:bottom w:val="none" w:sz="0" w:space="0" w:color="auto"/>
        <w:right w:val="none" w:sz="0" w:space="0" w:color="auto"/>
      </w:divBdr>
    </w:div>
    <w:div w:id="1835610759">
      <w:bodyDiv w:val="1"/>
      <w:marLeft w:val="0"/>
      <w:marRight w:val="0"/>
      <w:marTop w:val="0"/>
      <w:marBottom w:val="0"/>
      <w:divBdr>
        <w:top w:val="none" w:sz="0" w:space="0" w:color="auto"/>
        <w:left w:val="none" w:sz="0" w:space="0" w:color="auto"/>
        <w:bottom w:val="none" w:sz="0" w:space="0" w:color="auto"/>
        <w:right w:val="none" w:sz="0" w:space="0" w:color="auto"/>
      </w:divBdr>
    </w:div>
    <w:div w:id="1876582018">
      <w:bodyDiv w:val="1"/>
      <w:marLeft w:val="0"/>
      <w:marRight w:val="0"/>
      <w:marTop w:val="0"/>
      <w:marBottom w:val="0"/>
      <w:divBdr>
        <w:top w:val="none" w:sz="0" w:space="0" w:color="auto"/>
        <w:left w:val="none" w:sz="0" w:space="0" w:color="auto"/>
        <w:bottom w:val="none" w:sz="0" w:space="0" w:color="auto"/>
        <w:right w:val="none" w:sz="0" w:space="0" w:color="auto"/>
      </w:divBdr>
    </w:div>
    <w:div w:id="2018075568">
      <w:bodyDiv w:val="1"/>
      <w:marLeft w:val="0"/>
      <w:marRight w:val="0"/>
      <w:marTop w:val="0"/>
      <w:marBottom w:val="0"/>
      <w:divBdr>
        <w:top w:val="none" w:sz="0" w:space="0" w:color="auto"/>
        <w:left w:val="none" w:sz="0" w:space="0" w:color="auto"/>
        <w:bottom w:val="none" w:sz="0" w:space="0" w:color="auto"/>
        <w:right w:val="none" w:sz="0" w:space="0" w:color="auto"/>
      </w:divBdr>
    </w:div>
    <w:div w:id="2031569800">
      <w:bodyDiv w:val="1"/>
      <w:marLeft w:val="0"/>
      <w:marRight w:val="0"/>
      <w:marTop w:val="0"/>
      <w:marBottom w:val="0"/>
      <w:divBdr>
        <w:top w:val="none" w:sz="0" w:space="0" w:color="auto"/>
        <w:left w:val="none" w:sz="0" w:space="0" w:color="auto"/>
        <w:bottom w:val="none" w:sz="0" w:space="0" w:color="auto"/>
        <w:right w:val="none" w:sz="0" w:space="0" w:color="auto"/>
      </w:divBdr>
    </w:div>
    <w:div w:id="2045212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3.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2.emf"/><Relationship Id="rId32" Type="http://schemas.openxmlformats.org/officeDocument/2006/relationships/hyperlink" Target="http://www.sedar.com"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image" Target="media/image6.emf"/><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www.sedar.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image" Target="media/image5.emf"/><Relationship Id="rId30"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47FA7E9A28F74094CDD3A272B185DE" ma:contentTypeVersion="13" ma:contentTypeDescription="Create a new document." ma:contentTypeScope="" ma:versionID="6c221a34e64c428291f79909bfeb9386">
  <xsd:schema xmlns:xsd="http://www.w3.org/2001/XMLSchema" xmlns:xs="http://www.w3.org/2001/XMLSchema" xmlns:p="http://schemas.microsoft.com/office/2006/metadata/properties" xmlns:ns3="be5aa7a5-81d2-4b3e-9017-a3800f953641" xmlns:ns4="709986ed-f29d-4020-b8fb-784e16805039" targetNamespace="http://schemas.microsoft.com/office/2006/metadata/properties" ma:root="true" ma:fieldsID="2e55bbb78411ac67b741c925803b7f3a" ns3:_="" ns4:_="">
    <xsd:import namespace="be5aa7a5-81d2-4b3e-9017-a3800f953641"/>
    <xsd:import namespace="709986ed-f29d-4020-b8fb-784e168050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aa7a5-81d2-4b3e-9017-a3800f9536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9986ed-f29d-4020-b8fb-784e168050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56F6A-29DD-4E1A-B8FA-BCE4DB3E4634}">
  <ds:schemaRefs>
    <ds:schemaRef ds:uri="http://schemas.microsoft.com/sharepoint/v3/contenttype/forms"/>
  </ds:schemaRefs>
</ds:datastoreItem>
</file>

<file path=customXml/itemProps2.xml><?xml version="1.0" encoding="utf-8"?>
<ds:datastoreItem xmlns:ds="http://schemas.openxmlformats.org/officeDocument/2006/customXml" ds:itemID="{CCF1596D-EFB3-40F7-BF81-395291E231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430036-9FB5-43DE-B75E-0AE1C74DC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aa7a5-81d2-4b3e-9017-a3800f953641"/>
    <ds:schemaRef ds:uri="709986ed-f29d-4020-b8fb-784e16805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A422DD-70F2-4376-8A63-E2B5CC5A7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20</Pages>
  <Words>9182</Words>
  <Characters>52341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Dirk Maritz</dc:creator>
  <cp:lastModifiedBy>Melissa MacRae, CPA, CA</cp:lastModifiedBy>
  <cp:revision>6</cp:revision>
  <cp:lastPrinted>2022-04-08T18:48:00Z</cp:lastPrinted>
  <dcterms:created xsi:type="dcterms:W3CDTF">2022-04-11T16:13:00Z</dcterms:created>
  <dcterms:modified xsi:type="dcterms:W3CDTF">2022-04-19T20:43:00Z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2019-03-07T00:00:00Z</vt:filetime>
  </property>
  <property fmtid="{D5CDD505-2E9C-101B-9397-08002B2CF9AE}" pid="3" name="Creator">
    <vt:lpwstr>Adobe Acrobat Pro 10.1.16</vt:lpwstr>
  </property>
  <property fmtid="{D5CDD505-2E9C-101B-9397-08002B2CF9AE}" pid="4" name="LastSaved">
    <vt:filetime>2019-04-11T00:00:00Z</vt:filetime>
  </property>
  <property fmtid="{D5CDD505-2E9C-101B-9397-08002B2CF9AE}" pid="5" name="ContentTypeId">
    <vt:lpwstr>0x0101003447FA7E9A28F74094CDD3A272B185DE</vt:lpwstr>
  </property>
</Properties>
</file>